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7E" w:rsidRDefault="00A97088"/>
    <w:p w:rsidR="00605088" w:rsidRDefault="007959BE" w:rsidP="006D0A8D">
      <w:pPr>
        <w:spacing w:after="0" w:line="240" w:lineRule="auto"/>
        <w:jc w:val="center"/>
        <w:rPr>
          <w:b/>
        </w:rPr>
      </w:pPr>
      <w:r w:rsidRPr="007959BE">
        <w:rPr>
          <w:b/>
        </w:rPr>
        <w:t>KARAYOLU TAŞIMA YÖNETMELİĞİ</w:t>
      </w:r>
      <w:r>
        <w:rPr>
          <w:b/>
        </w:rPr>
        <w:t>’</w:t>
      </w:r>
      <w:r w:rsidRPr="007959BE">
        <w:rPr>
          <w:b/>
        </w:rPr>
        <w:t>NDE DEĞİŞİKLİ</w:t>
      </w:r>
      <w:r w:rsidR="00605088">
        <w:rPr>
          <w:b/>
        </w:rPr>
        <w:t>K YAPILMASINA DAİR YÖNETMELİK İLE</w:t>
      </w:r>
    </w:p>
    <w:p w:rsidR="001C55CB" w:rsidRDefault="007959BE" w:rsidP="006D0A8D">
      <w:pPr>
        <w:spacing w:after="0" w:line="240" w:lineRule="auto"/>
        <w:jc w:val="center"/>
        <w:rPr>
          <w:b/>
        </w:rPr>
      </w:pPr>
      <w:r w:rsidRPr="007959BE">
        <w:rPr>
          <w:b/>
        </w:rPr>
        <w:t>YAPILAN DEĞİŞİKLİKLERE İLİŞKİN KARŞILAŞTIRMA TABLOSU</w:t>
      </w:r>
    </w:p>
    <w:p w:rsidR="007959BE" w:rsidRDefault="007959BE" w:rsidP="006D0A8D">
      <w:pPr>
        <w:spacing w:after="0" w:line="240" w:lineRule="auto"/>
        <w:jc w:val="center"/>
        <w:rPr>
          <w:b/>
          <w:sz w:val="20"/>
          <w:szCs w:val="20"/>
        </w:rPr>
      </w:pPr>
      <w:r w:rsidRPr="00605088">
        <w:rPr>
          <w:b/>
          <w:sz w:val="20"/>
          <w:szCs w:val="20"/>
        </w:rPr>
        <w:t>(23 HAZİRAN 2020 TARİH VE 31164 SAYILI RESMİ GAZETE)</w:t>
      </w:r>
    </w:p>
    <w:p w:rsidR="00605088" w:rsidRPr="007959BE" w:rsidRDefault="00605088" w:rsidP="00605088">
      <w:pPr>
        <w:spacing w:after="0" w:line="240" w:lineRule="auto"/>
        <w:jc w:val="center"/>
        <w:rPr>
          <w:b/>
        </w:rPr>
      </w:pPr>
    </w:p>
    <w:tbl>
      <w:tblPr>
        <w:tblStyle w:val="TabloKlavuzu"/>
        <w:tblW w:w="10774" w:type="dxa"/>
        <w:tblInd w:w="-856" w:type="dxa"/>
        <w:tblLook w:val="04A0" w:firstRow="1" w:lastRow="0" w:firstColumn="1" w:lastColumn="0" w:noHBand="0" w:noVBand="1"/>
      </w:tblPr>
      <w:tblGrid>
        <w:gridCol w:w="1542"/>
        <w:gridCol w:w="3988"/>
        <w:gridCol w:w="5244"/>
      </w:tblGrid>
      <w:tr w:rsidR="001C55CB" w:rsidTr="006D0A8D">
        <w:tc>
          <w:tcPr>
            <w:tcW w:w="1542" w:type="dxa"/>
          </w:tcPr>
          <w:p w:rsidR="001C55CB" w:rsidRPr="00E77BEE" w:rsidRDefault="001C55CB" w:rsidP="00E77BEE">
            <w:pPr>
              <w:jc w:val="center"/>
              <w:rPr>
                <w:b/>
              </w:rPr>
            </w:pPr>
            <w:r w:rsidRPr="00E77BEE">
              <w:rPr>
                <w:b/>
              </w:rPr>
              <w:t>Madde</w:t>
            </w:r>
          </w:p>
        </w:tc>
        <w:tc>
          <w:tcPr>
            <w:tcW w:w="3988" w:type="dxa"/>
          </w:tcPr>
          <w:p w:rsidR="001C55CB" w:rsidRPr="00E77BEE" w:rsidRDefault="001C55CB" w:rsidP="00E77BEE">
            <w:pPr>
              <w:jc w:val="center"/>
              <w:rPr>
                <w:b/>
              </w:rPr>
            </w:pPr>
            <w:r w:rsidRPr="00E77BEE">
              <w:rPr>
                <w:b/>
              </w:rPr>
              <w:t>Eski Madde</w:t>
            </w:r>
          </w:p>
        </w:tc>
        <w:tc>
          <w:tcPr>
            <w:tcW w:w="5244" w:type="dxa"/>
          </w:tcPr>
          <w:p w:rsidR="001C55CB" w:rsidRPr="00E77BEE" w:rsidRDefault="001C55CB" w:rsidP="00E77BEE">
            <w:pPr>
              <w:jc w:val="center"/>
              <w:rPr>
                <w:b/>
              </w:rPr>
            </w:pPr>
            <w:r w:rsidRPr="00E77BEE">
              <w:rPr>
                <w:b/>
              </w:rPr>
              <w:t>Yeni Madde</w:t>
            </w:r>
          </w:p>
        </w:tc>
      </w:tr>
      <w:tr w:rsidR="001C55CB" w:rsidTr="006D0A8D">
        <w:trPr>
          <w:trHeight w:val="3847"/>
        </w:trPr>
        <w:tc>
          <w:tcPr>
            <w:tcW w:w="1542" w:type="dxa"/>
            <w:vAlign w:val="center"/>
          </w:tcPr>
          <w:p w:rsidR="001C55CB" w:rsidRDefault="001C55CB" w:rsidP="007959BE">
            <w:r w:rsidRPr="001C55CB">
              <w:t>MADDE 14</w:t>
            </w:r>
          </w:p>
          <w:p w:rsidR="00DC118B" w:rsidRDefault="00DC118B" w:rsidP="007959BE">
            <w:r w:rsidRPr="00DC118B">
              <w:t>Yetki belgesi almanın veya yenilemenin özel şartları</w:t>
            </w:r>
          </w:p>
        </w:tc>
        <w:tc>
          <w:tcPr>
            <w:tcW w:w="3988" w:type="dxa"/>
            <w:vAlign w:val="center"/>
          </w:tcPr>
          <w:p w:rsidR="001C55CB" w:rsidRDefault="00605088" w:rsidP="00605088">
            <w:pPr>
              <w:jc w:val="center"/>
            </w:pPr>
            <w:r>
              <w:t>-</w:t>
            </w:r>
          </w:p>
        </w:tc>
        <w:tc>
          <w:tcPr>
            <w:tcW w:w="5244" w:type="dxa"/>
            <w:vAlign w:val="center"/>
          </w:tcPr>
          <w:p w:rsidR="00DC118B" w:rsidRPr="00DC118B" w:rsidRDefault="00DC118B" w:rsidP="00DC118B">
            <w:pPr>
              <w:jc w:val="both"/>
            </w:pPr>
            <w:r w:rsidRPr="00DC118B">
              <w:t>(Karayolu Taşıma Yönetmeliği</w:t>
            </w:r>
            <w:r>
              <w:t>’</w:t>
            </w:r>
            <w:r w:rsidRPr="00DC118B">
              <w:t>nin 14</w:t>
            </w:r>
            <w:r>
              <w:t>’</w:t>
            </w:r>
            <w:r w:rsidRPr="00DC118B">
              <w:t>üncü maddesine aşağıdaki fıkra eklenmiştir.)</w:t>
            </w:r>
          </w:p>
          <w:p w:rsidR="00F37665" w:rsidRDefault="00F37665" w:rsidP="007959BE">
            <w:pPr>
              <w:jc w:val="both"/>
              <w:rPr>
                <w:color w:val="FF0000"/>
              </w:rPr>
            </w:pPr>
          </w:p>
          <w:p w:rsidR="00DC118B" w:rsidRDefault="00F37665" w:rsidP="007959BE">
            <w:pPr>
              <w:jc w:val="both"/>
              <w:rPr>
                <w:color w:val="FF0000"/>
              </w:rPr>
            </w:pPr>
            <w:r>
              <w:rPr>
                <w:color w:val="FF0000"/>
              </w:rPr>
              <w:t>(EK FIKRA)</w:t>
            </w:r>
          </w:p>
          <w:p w:rsidR="001C55CB" w:rsidRPr="007959BE" w:rsidRDefault="001C55CB" w:rsidP="007959BE">
            <w:pPr>
              <w:jc w:val="both"/>
              <w:rPr>
                <w:color w:val="FF0000"/>
              </w:rPr>
            </w:pPr>
            <w:r w:rsidRPr="007959BE">
              <w:rPr>
                <w:color w:val="FF0000"/>
              </w:rPr>
              <w:t>(22) Yetki belgesi sahipleri, merkezi adresleri ve şubelerinden;</w:t>
            </w:r>
          </w:p>
          <w:p w:rsidR="001C55CB" w:rsidRPr="007959BE" w:rsidRDefault="001C55CB" w:rsidP="007959BE">
            <w:pPr>
              <w:jc w:val="both"/>
              <w:rPr>
                <w:color w:val="FF0000"/>
              </w:rPr>
            </w:pPr>
            <w:r w:rsidRPr="007959BE">
              <w:rPr>
                <w:color w:val="FF0000"/>
              </w:rPr>
              <w:t>a) Terminallerde bulunanlar için,</w:t>
            </w:r>
          </w:p>
          <w:p w:rsidR="001C55CB" w:rsidRPr="007959BE" w:rsidRDefault="001C55CB" w:rsidP="007959BE">
            <w:pPr>
              <w:jc w:val="both"/>
              <w:rPr>
                <w:color w:val="FF0000"/>
              </w:rPr>
            </w:pPr>
            <w:r w:rsidRPr="007959BE">
              <w:rPr>
                <w:color w:val="FF0000"/>
              </w:rPr>
              <w:t>b) Aynı taşınmazla adlarına düzenlenmiş/düzenlenecek diğer yetki belgeleri kapsamında da faaliyette bulunmaları ve bu maddeyle istenilen alan şartları toplamının yine aynı taşınmazla sağlanıyor olması halinde, bu taşınmazlar için,</w:t>
            </w:r>
          </w:p>
          <w:p w:rsidR="001C55CB" w:rsidRDefault="001C55CB" w:rsidP="007959BE">
            <w:pPr>
              <w:jc w:val="both"/>
            </w:pPr>
            <w:proofErr w:type="gramStart"/>
            <w:r w:rsidRPr="007959BE">
              <w:rPr>
                <w:color w:val="FF0000"/>
              </w:rPr>
              <w:t>müstak</w:t>
            </w:r>
            <w:r w:rsidR="00E77BEE" w:rsidRPr="007959BE">
              <w:rPr>
                <w:color w:val="FF0000"/>
              </w:rPr>
              <w:t>il</w:t>
            </w:r>
            <w:proofErr w:type="gramEnd"/>
            <w:r w:rsidR="00E77BEE" w:rsidRPr="007959BE">
              <w:rPr>
                <w:color w:val="FF0000"/>
              </w:rPr>
              <w:t>/bağımsız olma şartı aranmaz.</w:t>
            </w:r>
          </w:p>
        </w:tc>
      </w:tr>
      <w:tr w:rsidR="001C55CB" w:rsidTr="006D0A8D">
        <w:trPr>
          <w:trHeight w:val="3675"/>
        </w:trPr>
        <w:tc>
          <w:tcPr>
            <w:tcW w:w="1542" w:type="dxa"/>
            <w:vAlign w:val="center"/>
          </w:tcPr>
          <w:p w:rsidR="001C55CB" w:rsidRDefault="001C55CB" w:rsidP="007959BE">
            <w:r>
              <w:t>MADDE 24</w:t>
            </w:r>
          </w:p>
          <w:p w:rsidR="001134C8" w:rsidRDefault="001134C8" w:rsidP="007959BE">
            <w:r w:rsidRPr="001134C8">
              <w:t>Taşıtların yaşı, cinsi ve diğer şartlar</w:t>
            </w:r>
          </w:p>
        </w:tc>
        <w:tc>
          <w:tcPr>
            <w:tcW w:w="3988" w:type="dxa"/>
            <w:vAlign w:val="center"/>
          </w:tcPr>
          <w:p w:rsidR="001134C8" w:rsidRDefault="001134C8" w:rsidP="007959BE">
            <w:pPr>
              <w:jc w:val="both"/>
            </w:pPr>
            <w:r w:rsidRPr="001134C8">
              <w:t>1) Bu Yönetmelik kapsamındaki taşımalarda kullanılacak ve yetki belgesi eki taşıt belgesine kaydedilecek veya asgari kapasite hesabında değerlendirilecek taşıtların aşağıdaki şartlara uygun olması gerekir. Buna göre;</w:t>
            </w:r>
          </w:p>
          <w:p w:rsidR="001134C8" w:rsidRDefault="001134C8" w:rsidP="007959BE">
            <w:pPr>
              <w:jc w:val="both"/>
            </w:pPr>
            <w:r>
              <w:t>…</w:t>
            </w:r>
          </w:p>
          <w:p w:rsidR="001C55CB" w:rsidRDefault="001C55CB" w:rsidP="007959BE">
            <w:pPr>
              <w:jc w:val="both"/>
            </w:pPr>
            <w:r>
              <w:t>b) B türü yetki belgesi ile ilgili olarak:</w:t>
            </w:r>
          </w:p>
          <w:p w:rsidR="001C55CB" w:rsidRDefault="001C55CB" w:rsidP="007959BE">
            <w:pPr>
              <w:jc w:val="both"/>
            </w:pPr>
            <w:r>
              <w:t xml:space="preserve">1) Yetki belgesi eki taşıt belgelerine kaydedilecek taşıtlardan,  asgari kapasiteyi sağlayacak sayıda </w:t>
            </w:r>
            <w:proofErr w:type="spellStart"/>
            <w:r>
              <w:t>özmal</w:t>
            </w:r>
            <w:proofErr w:type="spellEnd"/>
            <w:r>
              <w:t xml:space="preserve"> otobüsün ilk başvuru ve faaliyet süresince</w:t>
            </w:r>
            <w:r w:rsidR="00E77BEE">
              <w:t xml:space="preserve"> </w:t>
            </w:r>
            <w:r w:rsidRPr="00605088">
              <w:rPr>
                <w:strike/>
              </w:rPr>
              <w:t>10</w:t>
            </w:r>
            <w:r>
              <w:t xml:space="preserve"> yaşından büyük olmaması şarttır.</w:t>
            </w:r>
          </w:p>
        </w:tc>
        <w:tc>
          <w:tcPr>
            <w:tcW w:w="5244" w:type="dxa"/>
            <w:vAlign w:val="center"/>
          </w:tcPr>
          <w:p w:rsidR="001134C8" w:rsidRDefault="001134C8" w:rsidP="001134C8">
            <w:pPr>
              <w:jc w:val="both"/>
            </w:pPr>
            <w:r>
              <w:t>1) Bu Yönetmelik kapsamındaki taşımalarda kullanılacak ve yetki belgesi eki taşıt belgesine kaydedilecek veya asgari kapasite hesabında değerlendirilecek taşıtların aşağıdaki şartlara uygun olması gerekir. Buna göre;</w:t>
            </w:r>
          </w:p>
          <w:p w:rsidR="001134C8" w:rsidRDefault="001134C8" w:rsidP="001134C8">
            <w:pPr>
              <w:jc w:val="both"/>
            </w:pPr>
            <w:r>
              <w:t>…</w:t>
            </w:r>
          </w:p>
          <w:p w:rsidR="001134C8" w:rsidRDefault="001134C8" w:rsidP="001134C8">
            <w:pPr>
              <w:jc w:val="both"/>
            </w:pPr>
          </w:p>
          <w:p w:rsidR="001C55CB" w:rsidRDefault="001C55CB" w:rsidP="001134C8">
            <w:pPr>
              <w:jc w:val="both"/>
            </w:pPr>
            <w:r>
              <w:t>b) B türü yetki belgesi ile ilgili olarak:</w:t>
            </w:r>
          </w:p>
          <w:p w:rsidR="001C55CB" w:rsidRDefault="001C55CB" w:rsidP="007959BE">
            <w:pPr>
              <w:jc w:val="both"/>
            </w:pPr>
            <w:r>
              <w:t>1) Yetki belgesi</w:t>
            </w:r>
            <w:r w:rsidR="00E77BEE">
              <w:t xml:space="preserve"> </w:t>
            </w:r>
            <w:r>
              <w:t>eki</w:t>
            </w:r>
            <w:r w:rsidR="00E77BEE">
              <w:t xml:space="preserve"> </w:t>
            </w:r>
            <w:r>
              <w:t>taşıt</w:t>
            </w:r>
            <w:r w:rsidR="00E77BEE">
              <w:t xml:space="preserve"> </w:t>
            </w:r>
            <w:r>
              <w:t>belgelerine</w:t>
            </w:r>
            <w:r w:rsidR="00E77BEE">
              <w:t xml:space="preserve"> </w:t>
            </w:r>
            <w:r>
              <w:t>kaydedilecek</w:t>
            </w:r>
            <w:r w:rsidR="00E77BEE">
              <w:t xml:space="preserve"> </w:t>
            </w:r>
            <w:r>
              <w:t xml:space="preserve">taşıtlardan, asgari kapasiteyi sağlayacak sayıda </w:t>
            </w:r>
            <w:proofErr w:type="spellStart"/>
            <w:r>
              <w:t>özmal</w:t>
            </w:r>
            <w:proofErr w:type="spellEnd"/>
            <w:r>
              <w:t xml:space="preserve"> otobüsün ilk</w:t>
            </w:r>
            <w:r w:rsidR="00E77BEE">
              <w:t xml:space="preserve"> </w:t>
            </w:r>
            <w:r>
              <w:t>başvuru ve faaliyet süresince</w:t>
            </w:r>
            <w:r w:rsidR="00E77BEE">
              <w:t xml:space="preserve"> </w:t>
            </w:r>
            <w:r w:rsidRPr="007959BE">
              <w:rPr>
                <w:color w:val="FF0000"/>
              </w:rPr>
              <w:t>12</w:t>
            </w:r>
            <w:r w:rsidR="00E77BEE">
              <w:t xml:space="preserve"> </w:t>
            </w:r>
            <w:r>
              <w:t>yaşından</w:t>
            </w:r>
            <w:r w:rsidR="00E77BEE">
              <w:t xml:space="preserve"> </w:t>
            </w:r>
            <w:r>
              <w:t>büyük olmaması şarttır.</w:t>
            </w:r>
          </w:p>
        </w:tc>
      </w:tr>
      <w:tr w:rsidR="001C55CB" w:rsidTr="006D0A8D">
        <w:trPr>
          <w:trHeight w:val="689"/>
        </w:trPr>
        <w:tc>
          <w:tcPr>
            <w:tcW w:w="1542" w:type="dxa"/>
            <w:vAlign w:val="center"/>
          </w:tcPr>
          <w:p w:rsidR="001C55CB" w:rsidRDefault="001C55CB" w:rsidP="007959BE">
            <w:r>
              <w:t>MADDE 40</w:t>
            </w:r>
          </w:p>
          <w:p w:rsidR="001134C8" w:rsidRDefault="001134C8" w:rsidP="007959BE">
            <w:r w:rsidRPr="001134C8">
              <w:t>Yetki belgesi sahiplerinin ortak yükümlülükleri</w:t>
            </w:r>
          </w:p>
        </w:tc>
        <w:tc>
          <w:tcPr>
            <w:tcW w:w="3988" w:type="dxa"/>
            <w:vAlign w:val="center"/>
          </w:tcPr>
          <w:p w:rsidR="001C55CB" w:rsidRDefault="001134C8" w:rsidP="001C3597">
            <w:pPr>
              <w:jc w:val="center"/>
            </w:pPr>
            <w:r w:rsidRPr="001134C8">
              <w:t xml:space="preserve">(6) C2, C3, K1, K3, L1, L2, N1, N2, R1 ve R2 yetki belgesi sahipleri; taşımasını üstlendikleri eşyalar için “taşıma senedi ile” birlikte, beşinci fıkrada belirtilen bilgileri, “taşımanın yapılacağı taşıtın hareket ettiği” saatten, en geç 6 saat sonrasına kadar Bakanlığın U-ETDS sistemine işlemek/iletmek zorundadırlar. </w:t>
            </w:r>
          </w:p>
        </w:tc>
        <w:tc>
          <w:tcPr>
            <w:tcW w:w="5244" w:type="dxa"/>
            <w:vAlign w:val="center"/>
          </w:tcPr>
          <w:p w:rsidR="001C3597" w:rsidRDefault="001C3597" w:rsidP="007959BE">
            <w:pPr>
              <w:jc w:val="both"/>
            </w:pPr>
          </w:p>
          <w:p w:rsidR="001C3597" w:rsidRPr="001C3597" w:rsidRDefault="001C3597" w:rsidP="007959BE">
            <w:pPr>
              <w:jc w:val="both"/>
            </w:pPr>
            <w:r w:rsidRPr="001C3597">
              <w:t xml:space="preserve">(6) C2, C3, K1, K3, L1, L2, N1, N2, R1 ve R2 yetki belgesi </w:t>
            </w:r>
            <w:proofErr w:type="gramStart"/>
            <w:r w:rsidRPr="001C3597">
              <w:t xml:space="preserve">sahipleri  </w:t>
            </w:r>
            <w:r w:rsidRPr="001C3597">
              <w:rPr>
                <w:color w:val="FF0000"/>
              </w:rPr>
              <w:t>ile</w:t>
            </w:r>
            <w:proofErr w:type="gramEnd"/>
            <w:r w:rsidRPr="001C3597">
              <w:rPr>
                <w:color w:val="FF0000"/>
              </w:rPr>
              <w:t xml:space="preserve"> taşınanın tehlikeli madde olması halinde C1 v</w:t>
            </w:r>
            <w:r>
              <w:rPr>
                <w:color w:val="FF0000"/>
              </w:rPr>
              <w:t>e K2 yetki belgesi sahipleri de</w:t>
            </w:r>
            <w:r w:rsidRPr="001C3597">
              <w:t>;</w:t>
            </w:r>
            <w:r w:rsidRPr="001C3597">
              <w:rPr>
                <w:color w:val="FF0000"/>
              </w:rPr>
              <w:t xml:space="preserve"> </w:t>
            </w:r>
            <w:r w:rsidRPr="001C3597">
              <w:t>taşımasını üstlendikleri eşyalar için “taşıma senedi ile” birlikte, beşinci fıkrada belirtilen bilgileri, “taşımanın yapılacağı taşıtın hareket ettiği” saatten, en geç 6 saat sonrasına kadar Bakanlığın U-ETDS sistemine işlemek/iletmek zorundadırlar.</w:t>
            </w:r>
          </w:p>
          <w:p w:rsidR="001C3597" w:rsidRDefault="001C3597" w:rsidP="007959BE">
            <w:pPr>
              <w:jc w:val="both"/>
              <w:rPr>
                <w:color w:val="FF0000"/>
              </w:rPr>
            </w:pPr>
          </w:p>
          <w:p w:rsidR="001C55CB" w:rsidRPr="007959BE" w:rsidRDefault="001C55CB" w:rsidP="007959BE">
            <w:pPr>
              <w:jc w:val="both"/>
              <w:rPr>
                <w:color w:val="FF0000"/>
              </w:rPr>
            </w:pPr>
          </w:p>
        </w:tc>
      </w:tr>
      <w:tr w:rsidR="001C3597" w:rsidTr="006D0A8D">
        <w:trPr>
          <w:trHeight w:val="689"/>
        </w:trPr>
        <w:tc>
          <w:tcPr>
            <w:tcW w:w="1542" w:type="dxa"/>
            <w:vAlign w:val="center"/>
          </w:tcPr>
          <w:p w:rsidR="001C3597" w:rsidRDefault="001C3597" w:rsidP="007959BE">
            <w:r>
              <w:t>MADDE 41</w:t>
            </w:r>
          </w:p>
          <w:p w:rsidR="001C3597" w:rsidRDefault="001C3597" w:rsidP="007959BE">
            <w:r>
              <w:t>Y</w:t>
            </w:r>
            <w:r w:rsidRPr="001C3597">
              <w:t>olcu taşımacılığı faaliyetinde bulunanların yükümlülükleri</w:t>
            </w:r>
          </w:p>
        </w:tc>
        <w:tc>
          <w:tcPr>
            <w:tcW w:w="3988" w:type="dxa"/>
            <w:vAlign w:val="center"/>
          </w:tcPr>
          <w:p w:rsidR="001C3597" w:rsidRDefault="001C3597" w:rsidP="001C3597">
            <w:pPr>
              <w:jc w:val="both"/>
            </w:pPr>
            <w:r w:rsidRPr="001C3597">
              <w:t>(4) Yolcu taşımacıları, taşıma sırasında yolcuya ikram ettikleri yiye</w:t>
            </w:r>
            <w:r>
              <w:t>cek ve içecek maddelerinin 11.06.</w:t>
            </w:r>
            <w:r w:rsidRPr="001C3597">
              <w:t>2010 tarihli ve 5996 sayılı Veteriner Hizmetleri, Bitki Sağlığı, Gıda ve Yem Kanununa uygun olması</w:t>
            </w:r>
            <w:r w:rsidRPr="00605088">
              <w:rPr>
                <w:strike/>
              </w:rPr>
              <w:t>ndan</w:t>
            </w:r>
            <w:r w:rsidRPr="001C3597">
              <w:t xml:space="preserve"> </w:t>
            </w:r>
            <w:r w:rsidRPr="00F37665">
              <w:rPr>
                <w:strike/>
              </w:rPr>
              <w:t>sorumludurlar.</w:t>
            </w:r>
            <w:r w:rsidRPr="001C3597">
              <w:t xml:space="preserve"> Bu fıkra</w:t>
            </w:r>
            <w:r w:rsidRPr="00F37665">
              <w:rPr>
                <w:strike/>
              </w:rPr>
              <w:t>ya</w:t>
            </w:r>
            <w:r w:rsidRPr="001C3597">
              <w:t xml:space="preserve"> aykırılığın tespiti halinde, bu durum ilgili birime iletilir.</w:t>
            </w:r>
          </w:p>
          <w:p w:rsidR="00F37665" w:rsidRDefault="00F37665" w:rsidP="001C3597">
            <w:pPr>
              <w:jc w:val="both"/>
            </w:pPr>
          </w:p>
          <w:p w:rsidR="00F37665" w:rsidRDefault="00F37665" w:rsidP="001C3597">
            <w:pPr>
              <w:jc w:val="both"/>
            </w:pPr>
          </w:p>
          <w:p w:rsidR="00F37665" w:rsidRDefault="00F37665" w:rsidP="001C3597">
            <w:pPr>
              <w:jc w:val="both"/>
            </w:pPr>
          </w:p>
          <w:p w:rsidR="00F37665" w:rsidRDefault="00F37665" w:rsidP="001C3597">
            <w:pPr>
              <w:jc w:val="both"/>
            </w:pPr>
          </w:p>
          <w:p w:rsidR="00F37665" w:rsidRDefault="00F37665" w:rsidP="001C3597">
            <w:pPr>
              <w:jc w:val="both"/>
            </w:pPr>
            <w:bookmarkStart w:id="0" w:name="_GoBack"/>
            <w:bookmarkEnd w:id="0"/>
          </w:p>
          <w:p w:rsidR="00F37665" w:rsidRDefault="00F37665" w:rsidP="001C3597">
            <w:pPr>
              <w:jc w:val="both"/>
            </w:pPr>
          </w:p>
          <w:p w:rsidR="00F37665" w:rsidRDefault="00F37665" w:rsidP="001C3597">
            <w:pPr>
              <w:jc w:val="both"/>
            </w:pPr>
          </w:p>
          <w:p w:rsidR="00F37665" w:rsidRDefault="00F37665" w:rsidP="001C3597">
            <w:pPr>
              <w:jc w:val="both"/>
            </w:pPr>
          </w:p>
          <w:p w:rsidR="00A97088" w:rsidRDefault="00A97088" w:rsidP="00F37665">
            <w:pPr>
              <w:jc w:val="center"/>
            </w:pPr>
          </w:p>
          <w:p w:rsidR="00F37665" w:rsidRPr="001134C8" w:rsidRDefault="00F37665" w:rsidP="00F37665">
            <w:pPr>
              <w:jc w:val="center"/>
            </w:pPr>
            <w:r>
              <w:t>-</w:t>
            </w:r>
          </w:p>
        </w:tc>
        <w:tc>
          <w:tcPr>
            <w:tcW w:w="5244" w:type="dxa"/>
            <w:vAlign w:val="center"/>
          </w:tcPr>
          <w:p w:rsidR="001C3597" w:rsidRDefault="001C3597" w:rsidP="001C3597">
            <w:pPr>
              <w:jc w:val="both"/>
            </w:pPr>
            <w:r>
              <w:lastRenderedPageBreak/>
              <w:t xml:space="preserve">(4) Yolcu taşımacıları </w:t>
            </w:r>
            <w:r w:rsidRPr="001C3597">
              <w:rPr>
                <w:color w:val="FF0000"/>
              </w:rPr>
              <w:t>tarafından,</w:t>
            </w:r>
            <w:r>
              <w:t xml:space="preserve"> taşıma sırasında yolcuya ikram edilen yiyecek ve içecek maddelerinin;</w:t>
            </w:r>
          </w:p>
          <w:p w:rsidR="001C3597" w:rsidRDefault="001C3597" w:rsidP="001C3597">
            <w:pPr>
              <w:jc w:val="both"/>
            </w:pPr>
          </w:p>
          <w:p w:rsidR="001C3597" w:rsidRDefault="001C3597" w:rsidP="001C3597">
            <w:pPr>
              <w:jc w:val="both"/>
            </w:pPr>
            <w:r w:rsidRPr="00496C07">
              <w:rPr>
                <w:color w:val="FF0000"/>
              </w:rPr>
              <w:t>a)</w:t>
            </w:r>
            <w:r>
              <w:t xml:space="preserve"> 11.06.2010 tarihli ve 5996 sayılı Veteriner Hizmetleri, Bitki Sağlığı, Gıda ve Yem Kanununa uygun olması,</w:t>
            </w:r>
          </w:p>
          <w:p w:rsidR="001C3597" w:rsidRDefault="001C3597" w:rsidP="001C3597">
            <w:pPr>
              <w:jc w:val="both"/>
            </w:pPr>
          </w:p>
          <w:p w:rsidR="00496C07" w:rsidRDefault="00496C07" w:rsidP="001C3597">
            <w:pPr>
              <w:jc w:val="both"/>
              <w:rPr>
                <w:color w:val="FF0000"/>
              </w:rPr>
            </w:pPr>
          </w:p>
          <w:p w:rsidR="00496C07" w:rsidRDefault="00496C07" w:rsidP="001C3597">
            <w:pPr>
              <w:jc w:val="both"/>
              <w:rPr>
                <w:color w:val="FF0000"/>
              </w:rPr>
            </w:pPr>
          </w:p>
          <w:p w:rsidR="001C3597" w:rsidRPr="001C3597" w:rsidRDefault="001C3597" w:rsidP="001C3597">
            <w:pPr>
              <w:jc w:val="both"/>
              <w:rPr>
                <w:color w:val="FF0000"/>
              </w:rPr>
            </w:pPr>
            <w:r w:rsidRPr="001C3597">
              <w:rPr>
                <w:color w:val="FF0000"/>
              </w:rPr>
              <w:t>b) Ambalajlı olması ile sıcak servis yapılmaması,</w:t>
            </w:r>
          </w:p>
          <w:p w:rsidR="001C3597" w:rsidRDefault="001C3597" w:rsidP="001C3597">
            <w:pPr>
              <w:jc w:val="both"/>
            </w:pPr>
          </w:p>
          <w:p w:rsidR="001C3597" w:rsidRDefault="001C3597" w:rsidP="001C3597">
            <w:pPr>
              <w:jc w:val="both"/>
              <w:rPr>
                <w:color w:val="FF0000"/>
              </w:rPr>
            </w:pPr>
            <w:proofErr w:type="gramStart"/>
            <w:r w:rsidRPr="001C3597">
              <w:rPr>
                <w:color w:val="FF0000"/>
              </w:rPr>
              <w:t>zorunludur</w:t>
            </w:r>
            <w:proofErr w:type="gramEnd"/>
            <w:r w:rsidRPr="001C3597">
              <w:rPr>
                <w:color w:val="FF0000"/>
              </w:rPr>
              <w:t>.</w:t>
            </w:r>
            <w:r>
              <w:t xml:space="preserve"> Bu fıkra</w:t>
            </w:r>
            <w:r w:rsidRPr="00F37665">
              <w:rPr>
                <w:color w:val="FF0000"/>
              </w:rPr>
              <w:t xml:space="preserve">nın (a) bendine </w:t>
            </w:r>
            <w:r>
              <w:t xml:space="preserve">aykırılığın tespiti halinde, bu durum ilgili birime iletilir. </w:t>
            </w:r>
            <w:r w:rsidRPr="00F37665">
              <w:rPr>
                <w:color w:val="FF0000"/>
              </w:rPr>
              <w:t>Bu fıkranın (b) bendine uymayan yetki belgesi sahiplerine 2 uyarma verilir.</w:t>
            </w:r>
          </w:p>
          <w:p w:rsidR="00F37665" w:rsidRDefault="00F37665" w:rsidP="001C3597">
            <w:pPr>
              <w:jc w:val="both"/>
            </w:pPr>
            <w:r w:rsidRPr="00F37665">
              <w:t>…</w:t>
            </w:r>
          </w:p>
          <w:p w:rsidR="00F37665" w:rsidRDefault="00F37665" w:rsidP="001C3597">
            <w:pPr>
              <w:jc w:val="both"/>
            </w:pPr>
          </w:p>
          <w:p w:rsidR="00F37665" w:rsidRPr="00F37665" w:rsidRDefault="00F37665" w:rsidP="001C3597">
            <w:pPr>
              <w:jc w:val="both"/>
              <w:rPr>
                <w:color w:val="FF0000"/>
              </w:rPr>
            </w:pPr>
            <w:r>
              <w:rPr>
                <w:color w:val="FF0000"/>
              </w:rPr>
              <w:t>(</w:t>
            </w:r>
            <w:r w:rsidRPr="00F37665">
              <w:rPr>
                <w:color w:val="FF0000"/>
              </w:rPr>
              <w:t>EK FIKRA</w:t>
            </w:r>
            <w:r>
              <w:rPr>
                <w:color w:val="FF0000"/>
              </w:rPr>
              <w:t>)</w:t>
            </w:r>
          </w:p>
          <w:p w:rsidR="00F37665" w:rsidRPr="00F37665" w:rsidRDefault="00F37665" w:rsidP="001C3597">
            <w:pPr>
              <w:jc w:val="both"/>
            </w:pPr>
            <w:proofErr w:type="gramStart"/>
            <w:r w:rsidRPr="00F37665">
              <w:rPr>
                <w:color w:val="FF0000"/>
              </w:rPr>
              <w:t xml:space="preserve">(16) Havalimanından şehir merkezine, başka bir şehir veya tersi yöne taşıma yapacak B1 ve D1 yetki belgesi sahibi olan ve havalimanı işleticisi ile yer tahsis sözleşmesi imzalamış olanlar için, yapılacak taşımanın gerçekleşeceği taşıma hattındaki kalkış yeri/noktası, ara durak, indirme/bindirme cepleri ve varış yeri/noktaları, faaliyet yapılacak il/illerin mülki idare amirlerinin izni ile belirlenir ve bu nokta/yerler için, bu maddenin </w:t>
            </w:r>
            <w:proofErr w:type="spellStart"/>
            <w:r w:rsidRPr="00F37665">
              <w:rPr>
                <w:color w:val="FF0000"/>
              </w:rPr>
              <w:t>onikinci</w:t>
            </w:r>
            <w:proofErr w:type="spellEnd"/>
            <w:r w:rsidRPr="00F37665">
              <w:rPr>
                <w:color w:val="FF0000"/>
              </w:rPr>
              <w:t xml:space="preserve"> fıkrasında belirtilen zorunluluk ve 58’inci maddenin birinci fıkrasının (a) bendindeki zorunluluk ile ayakta yolcu taşınmaması şartıyla 36’ncı maddenin birinci ve ikinci fıkraları hariç diğer fıkralarında belirlenmiş yükümlülükler aranmaz.</w:t>
            </w:r>
            <w:proofErr w:type="gramEnd"/>
          </w:p>
          <w:p w:rsidR="00F37665" w:rsidRDefault="00F37665" w:rsidP="001C3597">
            <w:pPr>
              <w:jc w:val="both"/>
            </w:pPr>
          </w:p>
        </w:tc>
      </w:tr>
      <w:tr w:rsidR="001C55CB" w:rsidTr="006D0A8D">
        <w:trPr>
          <w:trHeight w:val="1422"/>
        </w:trPr>
        <w:tc>
          <w:tcPr>
            <w:tcW w:w="1542" w:type="dxa"/>
            <w:vAlign w:val="center"/>
          </w:tcPr>
          <w:p w:rsidR="00F37665" w:rsidRDefault="001C55CB" w:rsidP="007959BE">
            <w:r>
              <w:lastRenderedPageBreak/>
              <w:t>MADDE 45</w:t>
            </w:r>
          </w:p>
          <w:p w:rsidR="001C55CB" w:rsidRDefault="00F37665" w:rsidP="007959BE">
            <w:r w:rsidRPr="00F37665">
              <w:t>Gönderenin ve yolcuların sorumluluğu</w:t>
            </w:r>
          </w:p>
        </w:tc>
        <w:tc>
          <w:tcPr>
            <w:tcW w:w="3988" w:type="dxa"/>
            <w:vAlign w:val="center"/>
          </w:tcPr>
          <w:p w:rsidR="001C55CB" w:rsidRDefault="001C55CB" w:rsidP="007959BE">
            <w:pPr>
              <w:jc w:val="center"/>
            </w:pPr>
            <w:r w:rsidRPr="001C55CB">
              <w:t>-</w:t>
            </w:r>
          </w:p>
        </w:tc>
        <w:tc>
          <w:tcPr>
            <w:tcW w:w="5244" w:type="dxa"/>
            <w:vAlign w:val="center"/>
          </w:tcPr>
          <w:p w:rsidR="00F37665" w:rsidRDefault="00F37665" w:rsidP="007959BE">
            <w:pPr>
              <w:jc w:val="both"/>
              <w:rPr>
                <w:color w:val="FF0000"/>
              </w:rPr>
            </w:pPr>
            <w:r>
              <w:rPr>
                <w:color w:val="FF0000"/>
              </w:rPr>
              <w:t>(</w:t>
            </w:r>
            <w:r w:rsidRPr="00F37665">
              <w:rPr>
                <w:color w:val="FF0000"/>
              </w:rPr>
              <w:t>EK FIKRA</w:t>
            </w:r>
            <w:r>
              <w:rPr>
                <w:color w:val="FF0000"/>
              </w:rPr>
              <w:t>)</w:t>
            </w:r>
          </w:p>
          <w:p w:rsidR="001C55CB" w:rsidRPr="007959BE" w:rsidRDefault="00E77BEE" w:rsidP="007959BE">
            <w:pPr>
              <w:jc w:val="both"/>
              <w:rPr>
                <w:color w:val="FF0000"/>
              </w:rPr>
            </w:pPr>
            <w:r w:rsidRPr="007959BE">
              <w:rPr>
                <w:color w:val="FF0000"/>
              </w:rPr>
              <w:t>(8) 24.0</w:t>
            </w:r>
            <w:r w:rsidR="001C55CB" w:rsidRPr="007959BE">
              <w:rPr>
                <w:color w:val="FF0000"/>
              </w:rPr>
              <w:t>4</w:t>
            </w:r>
            <w:r w:rsidRPr="007959BE">
              <w:rPr>
                <w:color w:val="FF0000"/>
              </w:rPr>
              <w:t>.</w:t>
            </w:r>
            <w:r w:rsidR="001C55CB" w:rsidRPr="007959BE">
              <w:rPr>
                <w:color w:val="FF0000"/>
              </w:rPr>
              <w:t xml:space="preserve">2019 tarihli ve 30754 sayılı Resmî </w:t>
            </w:r>
            <w:proofErr w:type="spellStart"/>
            <w:r w:rsidR="001C55CB" w:rsidRPr="007959BE">
              <w:rPr>
                <w:color w:val="FF0000"/>
              </w:rPr>
              <w:t>Gazete’de</w:t>
            </w:r>
            <w:proofErr w:type="spellEnd"/>
            <w:r w:rsidR="007959BE" w:rsidRPr="007959BE">
              <w:rPr>
                <w:color w:val="FF0000"/>
              </w:rPr>
              <w:t xml:space="preserve"> </w:t>
            </w:r>
            <w:r w:rsidR="001C55CB" w:rsidRPr="007959BE">
              <w:rPr>
                <w:color w:val="FF0000"/>
              </w:rPr>
              <w:t>yayımlanan Tehlikeli Maddelerin Karayoluyla Taşınması</w:t>
            </w:r>
            <w:r w:rsidR="007959BE" w:rsidRPr="007959BE">
              <w:rPr>
                <w:color w:val="FF0000"/>
              </w:rPr>
              <w:t xml:space="preserve"> </w:t>
            </w:r>
            <w:r w:rsidR="001C55CB" w:rsidRPr="007959BE">
              <w:rPr>
                <w:color w:val="FF0000"/>
              </w:rPr>
              <w:t>Hakkında Yönetmeliğe göre “Gönderen”</w:t>
            </w:r>
            <w:r w:rsidRPr="007959BE">
              <w:rPr>
                <w:color w:val="FF0000"/>
              </w:rPr>
              <w:t xml:space="preserve"> </w:t>
            </w:r>
            <w:r w:rsidR="001C55CB" w:rsidRPr="007959BE">
              <w:rPr>
                <w:color w:val="FF0000"/>
              </w:rPr>
              <w:t>statüsünde</w:t>
            </w:r>
            <w:r w:rsidRPr="007959BE">
              <w:rPr>
                <w:color w:val="FF0000"/>
              </w:rPr>
              <w:t xml:space="preserve"> </w:t>
            </w:r>
            <w:r w:rsidR="001C55CB" w:rsidRPr="007959BE">
              <w:rPr>
                <w:color w:val="FF0000"/>
              </w:rPr>
              <w:t>bulunanların</w:t>
            </w:r>
            <w:r w:rsidRPr="007959BE">
              <w:rPr>
                <w:color w:val="FF0000"/>
              </w:rPr>
              <w:t xml:space="preserve"> </w:t>
            </w:r>
            <w:r w:rsidR="001C55CB" w:rsidRPr="007959BE">
              <w:rPr>
                <w:color w:val="FF0000"/>
              </w:rPr>
              <w:t>faaliyetleriyle</w:t>
            </w:r>
            <w:r w:rsidRPr="007959BE">
              <w:rPr>
                <w:color w:val="FF0000"/>
              </w:rPr>
              <w:t xml:space="preserve"> </w:t>
            </w:r>
            <w:r w:rsidR="001C55CB" w:rsidRPr="007959BE">
              <w:rPr>
                <w:color w:val="FF0000"/>
              </w:rPr>
              <w:t>ilgili U-ETDS sistemine</w:t>
            </w:r>
            <w:r w:rsidRPr="007959BE">
              <w:rPr>
                <w:color w:val="FF0000"/>
              </w:rPr>
              <w:t xml:space="preserve"> </w:t>
            </w:r>
            <w:r w:rsidR="001C55CB" w:rsidRPr="007959BE">
              <w:rPr>
                <w:color w:val="FF0000"/>
              </w:rPr>
              <w:t>ile</w:t>
            </w:r>
            <w:r w:rsidRPr="007959BE">
              <w:rPr>
                <w:color w:val="FF0000"/>
              </w:rPr>
              <w:t>tecekleri veriler kabul edilir.</w:t>
            </w:r>
          </w:p>
        </w:tc>
      </w:tr>
      <w:tr w:rsidR="001C55CB" w:rsidTr="006D0A8D">
        <w:trPr>
          <w:trHeight w:val="974"/>
        </w:trPr>
        <w:tc>
          <w:tcPr>
            <w:tcW w:w="1542" w:type="dxa"/>
            <w:vAlign w:val="center"/>
          </w:tcPr>
          <w:p w:rsidR="001C55CB" w:rsidRDefault="001C55CB" w:rsidP="007959BE">
            <w:r>
              <w:t>GEÇİCİ</w:t>
            </w:r>
          </w:p>
          <w:p w:rsidR="001C55CB" w:rsidRDefault="001C55CB" w:rsidP="007959BE">
            <w:r>
              <w:t>MADDE 1</w:t>
            </w:r>
          </w:p>
          <w:p w:rsidR="00DC118B" w:rsidRDefault="00DC118B" w:rsidP="007959BE">
            <w:r w:rsidRPr="00DC118B">
              <w:t>Yaptırım, şube ve belgelere ilişkin geçiş hükümleri</w:t>
            </w:r>
          </w:p>
        </w:tc>
        <w:tc>
          <w:tcPr>
            <w:tcW w:w="3988" w:type="dxa"/>
            <w:vAlign w:val="center"/>
          </w:tcPr>
          <w:p w:rsidR="001C55CB" w:rsidRDefault="00A97088" w:rsidP="00DC118B">
            <w:pPr>
              <w:jc w:val="center"/>
            </w:pPr>
            <w:r w:rsidRPr="00A97088">
              <w:t>-</w:t>
            </w:r>
          </w:p>
        </w:tc>
        <w:tc>
          <w:tcPr>
            <w:tcW w:w="5244" w:type="dxa"/>
            <w:vAlign w:val="center"/>
          </w:tcPr>
          <w:p w:rsidR="00DC118B" w:rsidRPr="00DC118B" w:rsidRDefault="00F37665" w:rsidP="007959BE">
            <w:pPr>
              <w:jc w:val="both"/>
            </w:pPr>
            <w:r w:rsidRPr="00F37665">
              <w:rPr>
                <w:color w:val="FF0000"/>
              </w:rPr>
              <w:t>(EK FIKRA)</w:t>
            </w:r>
            <w:r w:rsidR="00DC118B" w:rsidRPr="00F37665">
              <w:rPr>
                <w:color w:val="FF0000"/>
              </w:rPr>
              <w:t xml:space="preserve"> </w:t>
            </w:r>
          </w:p>
          <w:p w:rsidR="001C55CB" w:rsidRPr="007959BE" w:rsidRDefault="001C55CB" w:rsidP="007959BE">
            <w:pPr>
              <w:jc w:val="both"/>
              <w:rPr>
                <w:color w:val="FF0000"/>
              </w:rPr>
            </w:pPr>
            <w:r w:rsidRPr="007959BE">
              <w:rPr>
                <w:color w:val="FF0000"/>
              </w:rPr>
              <w:t>(5) Bu fıkranın yürürlüğe girdiği</w:t>
            </w:r>
            <w:r w:rsidR="00E77BEE" w:rsidRPr="007959BE">
              <w:rPr>
                <w:color w:val="FF0000"/>
              </w:rPr>
              <w:t xml:space="preserve"> </w:t>
            </w:r>
            <w:r w:rsidRPr="007959BE">
              <w:rPr>
                <w:color w:val="FF0000"/>
              </w:rPr>
              <w:t>tarihte geçerli olan yetki</w:t>
            </w:r>
            <w:r w:rsidR="007959BE" w:rsidRPr="007959BE">
              <w:rPr>
                <w:color w:val="FF0000"/>
              </w:rPr>
              <w:t xml:space="preserve"> </w:t>
            </w:r>
            <w:r w:rsidRPr="007959BE">
              <w:rPr>
                <w:color w:val="FF0000"/>
              </w:rPr>
              <w:t>belgelerinin ilk yenilenmesi sırasında, yetki</w:t>
            </w:r>
            <w:r w:rsidR="00E77BEE" w:rsidRPr="007959BE">
              <w:rPr>
                <w:color w:val="FF0000"/>
              </w:rPr>
              <w:t xml:space="preserve"> </w:t>
            </w:r>
            <w:r w:rsidRPr="007959BE">
              <w:rPr>
                <w:color w:val="FF0000"/>
              </w:rPr>
              <w:t>belgesi</w:t>
            </w:r>
            <w:r w:rsidR="00E77BEE" w:rsidRPr="007959BE">
              <w:rPr>
                <w:color w:val="FF0000"/>
              </w:rPr>
              <w:t xml:space="preserve"> </w:t>
            </w:r>
            <w:r w:rsidRPr="007959BE">
              <w:rPr>
                <w:color w:val="FF0000"/>
              </w:rPr>
              <w:t>geçerlilik</w:t>
            </w:r>
            <w:r w:rsidR="00E77BEE" w:rsidRPr="007959BE">
              <w:rPr>
                <w:color w:val="FF0000"/>
              </w:rPr>
              <w:t xml:space="preserve"> süresine altı ay ilave edilir.</w:t>
            </w:r>
          </w:p>
        </w:tc>
      </w:tr>
      <w:tr w:rsidR="001C55CB" w:rsidTr="006D0A8D">
        <w:trPr>
          <w:trHeight w:val="1980"/>
        </w:trPr>
        <w:tc>
          <w:tcPr>
            <w:tcW w:w="1542" w:type="dxa"/>
            <w:vAlign w:val="center"/>
          </w:tcPr>
          <w:p w:rsidR="001C55CB" w:rsidRDefault="001C55CB" w:rsidP="007959BE">
            <w:r>
              <w:t>GEÇİCİ</w:t>
            </w:r>
          </w:p>
          <w:p w:rsidR="001C55CB" w:rsidRDefault="001C55CB" w:rsidP="007959BE">
            <w:r>
              <w:t>MADDE 6</w:t>
            </w:r>
          </w:p>
          <w:p w:rsidR="00605088" w:rsidRDefault="00605088" w:rsidP="007959BE">
            <w:r w:rsidRPr="00605088">
              <w:t>Yenileme ücretinin alınmaması ve A2 yetki belgelerine ilişkin geçiş hükümleri</w:t>
            </w:r>
          </w:p>
        </w:tc>
        <w:tc>
          <w:tcPr>
            <w:tcW w:w="3988" w:type="dxa"/>
            <w:vAlign w:val="center"/>
          </w:tcPr>
          <w:p w:rsidR="001C55CB" w:rsidRDefault="001C55CB" w:rsidP="007959BE">
            <w:pPr>
              <w:jc w:val="center"/>
            </w:pPr>
            <w:r w:rsidRPr="001C55CB">
              <w:t>-</w:t>
            </w:r>
          </w:p>
        </w:tc>
        <w:tc>
          <w:tcPr>
            <w:tcW w:w="5244" w:type="dxa"/>
            <w:vAlign w:val="center"/>
          </w:tcPr>
          <w:p w:rsidR="00605088" w:rsidRDefault="00605088" w:rsidP="007959BE">
            <w:pPr>
              <w:jc w:val="both"/>
              <w:rPr>
                <w:color w:val="FF0000"/>
              </w:rPr>
            </w:pPr>
            <w:r w:rsidRPr="00605088">
              <w:rPr>
                <w:color w:val="FF0000"/>
              </w:rPr>
              <w:t>(EK FIKRA)</w:t>
            </w:r>
          </w:p>
          <w:p w:rsidR="001C55CB" w:rsidRPr="007959BE" w:rsidRDefault="001C55CB" w:rsidP="007959BE">
            <w:pPr>
              <w:jc w:val="both"/>
              <w:rPr>
                <w:color w:val="FF0000"/>
              </w:rPr>
            </w:pPr>
            <w:proofErr w:type="gramStart"/>
            <w:r w:rsidRPr="007959BE">
              <w:rPr>
                <w:color w:val="FF0000"/>
              </w:rPr>
              <w:t>(3) Bu fıkranın yürürlüğe girdiği tarihte A2 yetki belgesi</w:t>
            </w:r>
            <w:r w:rsidR="007959BE" w:rsidRPr="007959BE">
              <w:rPr>
                <w:color w:val="FF0000"/>
              </w:rPr>
              <w:t xml:space="preserve"> </w:t>
            </w:r>
            <w:r w:rsidRPr="007959BE">
              <w:rPr>
                <w:color w:val="FF0000"/>
              </w:rPr>
              <w:t>eki taşıt belgesinde kayıtlı olan taşıtlar ile</w:t>
            </w:r>
            <w:r w:rsidR="00E77BEE" w:rsidRPr="007959BE">
              <w:rPr>
                <w:color w:val="FF0000"/>
              </w:rPr>
              <w:t xml:space="preserve"> 30.06.</w:t>
            </w:r>
            <w:r w:rsidRPr="007959BE">
              <w:rPr>
                <w:color w:val="FF0000"/>
              </w:rPr>
              <w:t>2020</w:t>
            </w:r>
            <w:r w:rsidR="00E77BEE" w:rsidRPr="007959BE">
              <w:rPr>
                <w:color w:val="FF0000"/>
              </w:rPr>
              <w:t xml:space="preserve"> </w:t>
            </w:r>
            <w:r w:rsidRPr="007959BE">
              <w:rPr>
                <w:color w:val="FF0000"/>
              </w:rPr>
              <w:t>tarihine kadar</w:t>
            </w:r>
            <w:r w:rsidR="00E77BEE" w:rsidRPr="007959BE">
              <w:rPr>
                <w:color w:val="FF0000"/>
              </w:rPr>
              <w:t xml:space="preserve"> </w:t>
            </w:r>
            <w:r w:rsidRPr="007959BE">
              <w:rPr>
                <w:color w:val="FF0000"/>
              </w:rPr>
              <w:t>kaydedilecek taşıtlar</w:t>
            </w:r>
            <w:r w:rsidR="00E77BEE" w:rsidRPr="007959BE">
              <w:rPr>
                <w:color w:val="FF0000"/>
              </w:rPr>
              <w:t xml:space="preserve"> </w:t>
            </w:r>
            <w:r w:rsidRPr="007959BE">
              <w:rPr>
                <w:color w:val="FF0000"/>
              </w:rPr>
              <w:t>için 24.</w:t>
            </w:r>
            <w:r w:rsidR="00E77BEE" w:rsidRPr="007959BE">
              <w:rPr>
                <w:color w:val="FF0000"/>
              </w:rPr>
              <w:t xml:space="preserve"> maddenin </w:t>
            </w:r>
            <w:r w:rsidRPr="007959BE">
              <w:rPr>
                <w:color w:val="FF0000"/>
              </w:rPr>
              <w:t xml:space="preserve">birinci </w:t>
            </w:r>
            <w:r w:rsidR="00E77BEE" w:rsidRPr="007959BE">
              <w:rPr>
                <w:color w:val="FF0000"/>
              </w:rPr>
              <w:t>f</w:t>
            </w:r>
            <w:r w:rsidRPr="007959BE">
              <w:rPr>
                <w:color w:val="FF0000"/>
              </w:rPr>
              <w:t>ıkrasının (a) bendinin (1) numaralı alt bendinde</w:t>
            </w:r>
            <w:r w:rsidR="007959BE" w:rsidRPr="007959BE">
              <w:rPr>
                <w:color w:val="FF0000"/>
              </w:rPr>
              <w:t xml:space="preserve"> </w:t>
            </w:r>
            <w:proofErr w:type="spellStart"/>
            <w:r w:rsidRPr="007959BE">
              <w:rPr>
                <w:color w:val="FF0000"/>
              </w:rPr>
              <w:t>yeralan</w:t>
            </w:r>
            <w:proofErr w:type="spellEnd"/>
            <w:r w:rsidRPr="007959BE">
              <w:rPr>
                <w:color w:val="FF0000"/>
              </w:rPr>
              <w:t xml:space="preserve"> yaş şartı 8 olarak</w:t>
            </w:r>
            <w:r w:rsidR="00E77BEE" w:rsidRPr="007959BE">
              <w:rPr>
                <w:color w:val="FF0000"/>
              </w:rPr>
              <w:t xml:space="preserve"> </w:t>
            </w:r>
            <w:r w:rsidRPr="007959BE">
              <w:rPr>
                <w:color w:val="FF0000"/>
              </w:rPr>
              <w:t>uygulanır ve</w:t>
            </w:r>
            <w:r w:rsidR="00E77BEE" w:rsidRPr="007959BE">
              <w:rPr>
                <w:color w:val="FF0000"/>
              </w:rPr>
              <w:t xml:space="preserve"> </w:t>
            </w:r>
            <w:r w:rsidRPr="007959BE">
              <w:rPr>
                <w:color w:val="FF0000"/>
              </w:rPr>
              <w:t>bu</w:t>
            </w:r>
            <w:r w:rsidR="00E77BEE" w:rsidRPr="007959BE">
              <w:rPr>
                <w:color w:val="FF0000"/>
              </w:rPr>
              <w:t xml:space="preserve"> </w:t>
            </w:r>
            <w:r w:rsidRPr="007959BE">
              <w:rPr>
                <w:color w:val="FF0000"/>
              </w:rPr>
              <w:t>fıkra</w:t>
            </w:r>
            <w:r w:rsidR="00E77BEE" w:rsidRPr="007959BE">
              <w:rPr>
                <w:color w:val="FF0000"/>
              </w:rPr>
              <w:t xml:space="preserve"> k</w:t>
            </w:r>
            <w:r w:rsidRPr="007959BE">
              <w:rPr>
                <w:color w:val="FF0000"/>
              </w:rPr>
              <w:t>apsamında bulunan 6 yaşından büyük taşıtlar için taşıt</w:t>
            </w:r>
            <w:r w:rsidR="00E77BEE" w:rsidRPr="007959BE">
              <w:rPr>
                <w:color w:val="FF0000"/>
              </w:rPr>
              <w:t xml:space="preserve"> kartı süresi 31.12.</w:t>
            </w:r>
            <w:r w:rsidRPr="007959BE">
              <w:rPr>
                <w:color w:val="FF0000"/>
              </w:rPr>
              <w:t>2021 ola</w:t>
            </w:r>
            <w:r w:rsidR="00E77BEE" w:rsidRPr="007959BE">
              <w:rPr>
                <w:color w:val="FF0000"/>
              </w:rPr>
              <w:t>rak düzenlenir.</w:t>
            </w:r>
            <w:proofErr w:type="gramEnd"/>
          </w:p>
        </w:tc>
      </w:tr>
      <w:tr w:rsidR="001C55CB" w:rsidTr="006D0A8D">
        <w:trPr>
          <w:trHeight w:val="975"/>
        </w:trPr>
        <w:tc>
          <w:tcPr>
            <w:tcW w:w="1542" w:type="dxa"/>
            <w:vAlign w:val="center"/>
          </w:tcPr>
          <w:p w:rsidR="001C55CB" w:rsidRDefault="001C55CB" w:rsidP="007959BE">
            <w:r>
              <w:t>GEÇİCİ</w:t>
            </w:r>
          </w:p>
          <w:p w:rsidR="001C55CB" w:rsidRDefault="001C55CB" w:rsidP="007959BE">
            <w:r>
              <w:t>MADDE 8</w:t>
            </w:r>
          </w:p>
          <w:p w:rsidR="00DC118B" w:rsidRDefault="00DC118B" w:rsidP="007959BE">
            <w:r w:rsidRPr="00DC118B">
              <w:t>Taşıma işleri organizatörü yetki belgesi</w:t>
            </w:r>
          </w:p>
        </w:tc>
        <w:tc>
          <w:tcPr>
            <w:tcW w:w="3988" w:type="dxa"/>
            <w:vAlign w:val="center"/>
          </w:tcPr>
          <w:p w:rsidR="001C55CB" w:rsidRDefault="00A97088" w:rsidP="00DC118B">
            <w:pPr>
              <w:jc w:val="center"/>
            </w:pPr>
            <w:r w:rsidRPr="00A97088">
              <w:t>-</w:t>
            </w:r>
          </w:p>
        </w:tc>
        <w:tc>
          <w:tcPr>
            <w:tcW w:w="5244" w:type="dxa"/>
            <w:vAlign w:val="center"/>
          </w:tcPr>
          <w:p w:rsidR="00605088" w:rsidRDefault="00605088" w:rsidP="007959BE">
            <w:pPr>
              <w:jc w:val="both"/>
              <w:rPr>
                <w:color w:val="FF0000"/>
              </w:rPr>
            </w:pPr>
            <w:r w:rsidRPr="00605088">
              <w:rPr>
                <w:color w:val="FF0000"/>
              </w:rPr>
              <w:t xml:space="preserve">(EK FIKRA) </w:t>
            </w:r>
          </w:p>
          <w:p w:rsidR="001C55CB" w:rsidRPr="007959BE" w:rsidRDefault="001C55CB" w:rsidP="007959BE">
            <w:pPr>
              <w:jc w:val="both"/>
              <w:rPr>
                <w:color w:val="FF0000"/>
              </w:rPr>
            </w:pPr>
            <w:r w:rsidRPr="007959BE">
              <w:rPr>
                <w:color w:val="FF0000"/>
              </w:rPr>
              <w:t>(3) Bu fıkranın yürürlüğe girdiği tarihte mevcut R1 ve</w:t>
            </w:r>
            <w:r w:rsidR="007959BE" w:rsidRPr="007959BE">
              <w:rPr>
                <w:color w:val="FF0000"/>
              </w:rPr>
              <w:t xml:space="preserve"> </w:t>
            </w:r>
            <w:r w:rsidRPr="007959BE">
              <w:rPr>
                <w:color w:val="FF0000"/>
              </w:rPr>
              <w:t>R2 yetki belgeleri herhangi bir işleme gerek kalmadan</w:t>
            </w:r>
            <w:r w:rsidR="00E77BEE" w:rsidRPr="007959BE">
              <w:rPr>
                <w:color w:val="FF0000"/>
              </w:rPr>
              <w:t xml:space="preserve"> </w:t>
            </w:r>
            <w:r w:rsidRPr="007959BE">
              <w:rPr>
                <w:color w:val="FF0000"/>
              </w:rPr>
              <w:t>taşıma işleri organizatörlüğü</w:t>
            </w:r>
            <w:r w:rsidR="00E77BEE" w:rsidRPr="007959BE">
              <w:rPr>
                <w:color w:val="FF0000"/>
              </w:rPr>
              <w:t xml:space="preserve"> yetki belgesiyle değiştirilir.</w:t>
            </w:r>
          </w:p>
        </w:tc>
      </w:tr>
    </w:tbl>
    <w:p w:rsidR="001C55CB" w:rsidRDefault="001C55CB"/>
    <w:sectPr w:rsidR="001C5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B"/>
    <w:rsid w:val="001134C8"/>
    <w:rsid w:val="001C3597"/>
    <w:rsid w:val="001C55CB"/>
    <w:rsid w:val="00351EBB"/>
    <w:rsid w:val="00496C07"/>
    <w:rsid w:val="005D0AFE"/>
    <w:rsid w:val="00605088"/>
    <w:rsid w:val="006D0A8D"/>
    <w:rsid w:val="007959BE"/>
    <w:rsid w:val="00A97088"/>
    <w:rsid w:val="00DC118B"/>
    <w:rsid w:val="00E77BEE"/>
    <w:rsid w:val="00F37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13EC"/>
  <w15:chartTrackingRefBased/>
  <w15:docId w15:val="{6BA539ED-C222-48F8-9CDC-6ECB002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C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C1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785</Words>
  <Characters>4477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ISTANBUL TICARET ODASI</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Kuray</dc:creator>
  <cp:keywords/>
  <dc:description/>
  <cp:lastModifiedBy>Omer Kuray</cp:lastModifiedBy>
  <cp:revision>5</cp:revision>
  <dcterms:created xsi:type="dcterms:W3CDTF">2020-07-09T13:18:00Z</dcterms:created>
  <dcterms:modified xsi:type="dcterms:W3CDTF">2020-07-17T09:20:00Z</dcterms:modified>
</cp:coreProperties>
</file>