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EF8" w:rsidRPr="00951C57" w:rsidRDefault="00882EF8" w:rsidP="001773FD">
      <w:pPr>
        <w:spacing w:after="0" w:line="240" w:lineRule="auto"/>
        <w:outlineLvl w:val="0"/>
        <w:rPr>
          <w:rFonts w:ascii="Times New Roman" w:eastAsia="Times New Roman" w:hAnsi="Times New Roman" w:cs="Times New Roman"/>
          <w:b/>
          <w:noProof/>
          <w:sz w:val="28"/>
          <w:szCs w:val="28"/>
          <w:lang w:eastAsia="tr-TR"/>
        </w:rPr>
      </w:pPr>
      <w:r w:rsidRPr="00951C57">
        <w:rPr>
          <w:rFonts w:ascii="Times New Roman" w:eastAsia="Times New Roman" w:hAnsi="Times New Roman" w:cs="Times New Roman"/>
          <w:b/>
          <w:noProof/>
          <w:sz w:val="28"/>
          <w:szCs w:val="28"/>
          <w:u w:val="single"/>
          <w:lang w:eastAsia="tr-TR"/>
        </w:rPr>
        <w:t>Hazine Müsteşarlığından</w:t>
      </w:r>
      <w:r w:rsidRPr="00951C57">
        <w:rPr>
          <w:rFonts w:ascii="Times New Roman" w:eastAsia="Times New Roman" w:hAnsi="Times New Roman" w:cs="Times New Roman"/>
          <w:b/>
          <w:noProof/>
          <w:sz w:val="28"/>
          <w:szCs w:val="28"/>
          <w:lang w:eastAsia="tr-TR"/>
        </w:rPr>
        <w:tab/>
        <w:t xml:space="preserve"> </w:t>
      </w:r>
      <w:r w:rsidRPr="00951C57">
        <w:rPr>
          <w:rFonts w:ascii="Times New Roman" w:eastAsia="Times New Roman" w:hAnsi="Times New Roman" w:cs="Times New Roman"/>
          <w:b/>
          <w:noProof/>
          <w:sz w:val="28"/>
          <w:szCs w:val="28"/>
          <w:lang w:eastAsia="tr-TR"/>
        </w:rPr>
        <w:tab/>
      </w:r>
      <w:r w:rsidRPr="00951C57">
        <w:rPr>
          <w:rFonts w:ascii="Times New Roman" w:eastAsia="Times New Roman" w:hAnsi="Times New Roman" w:cs="Times New Roman"/>
          <w:b/>
          <w:noProof/>
          <w:sz w:val="28"/>
          <w:szCs w:val="28"/>
          <w:lang w:eastAsia="tr-TR"/>
        </w:rPr>
        <w:tab/>
      </w:r>
      <w:r w:rsidRPr="00951C57">
        <w:rPr>
          <w:rFonts w:ascii="Times New Roman" w:eastAsia="Times New Roman" w:hAnsi="Times New Roman" w:cs="Times New Roman"/>
          <w:b/>
          <w:noProof/>
          <w:sz w:val="28"/>
          <w:szCs w:val="28"/>
          <w:lang w:eastAsia="tr-TR"/>
        </w:rPr>
        <w:tab/>
      </w:r>
      <w:r w:rsidRPr="00951C57">
        <w:rPr>
          <w:rFonts w:ascii="Times New Roman" w:eastAsia="Times New Roman" w:hAnsi="Times New Roman" w:cs="Times New Roman"/>
          <w:b/>
          <w:noProof/>
          <w:sz w:val="28"/>
          <w:szCs w:val="28"/>
          <w:lang w:eastAsia="tr-TR"/>
        </w:rPr>
        <w:tab/>
      </w:r>
      <w:r w:rsidRPr="00951C57">
        <w:rPr>
          <w:rFonts w:ascii="Times New Roman" w:eastAsia="Times New Roman" w:hAnsi="Times New Roman" w:cs="Times New Roman"/>
          <w:b/>
          <w:noProof/>
          <w:sz w:val="28"/>
          <w:szCs w:val="28"/>
          <w:lang w:eastAsia="tr-TR"/>
        </w:rPr>
        <w:tab/>
        <w:t xml:space="preserve">          </w:t>
      </w:r>
      <w:r w:rsidR="008E271F" w:rsidRPr="00951C57">
        <w:rPr>
          <w:rFonts w:ascii="Times New Roman" w:eastAsia="Times New Roman" w:hAnsi="Times New Roman" w:cs="Times New Roman"/>
          <w:b/>
          <w:noProof/>
          <w:sz w:val="28"/>
          <w:szCs w:val="28"/>
          <w:lang w:eastAsia="tr-TR"/>
        </w:rPr>
        <w:tab/>
      </w:r>
      <w:r w:rsidR="00990B1B" w:rsidRPr="00951C57">
        <w:rPr>
          <w:rFonts w:ascii="Times New Roman" w:eastAsia="Times New Roman" w:hAnsi="Times New Roman" w:cs="Times New Roman"/>
          <w:b/>
          <w:noProof/>
          <w:sz w:val="28"/>
          <w:szCs w:val="28"/>
          <w:lang w:eastAsia="tr-TR"/>
        </w:rPr>
        <w:t xml:space="preserve">          15/07</w:t>
      </w:r>
      <w:r w:rsidR="005F7EDE" w:rsidRPr="00951C57">
        <w:rPr>
          <w:rFonts w:ascii="Times New Roman" w:eastAsia="Times New Roman" w:hAnsi="Times New Roman" w:cs="Times New Roman"/>
          <w:b/>
          <w:noProof/>
          <w:sz w:val="28"/>
          <w:szCs w:val="28"/>
          <w:lang w:eastAsia="tr-TR"/>
        </w:rPr>
        <w:t>/2016</w:t>
      </w:r>
    </w:p>
    <w:p w:rsidR="005F7EDE" w:rsidRPr="00951C57" w:rsidRDefault="005F7EDE" w:rsidP="001773FD">
      <w:pPr>
        <w:spacing w:after="0" w:line="240" w:lineRule="auto"/>
        <w:outlineLvl w:val="0"/>
        <w:rPr>
          <w:rFonts w:ascii="Times New Roman" w:eastAsia="Times New Roman" w:hAnsi="Times New Roman" w:cs="Times New Roman"/>
          <w:b/>
          <w:noProof/>
          <w:sz w:val="28"/>
          <w:szCs w:val="28"/>
          <w:lang w:eastAsia="tr-TR"/>
        </w:rPr>
      </w:pPr>
    </w:p>
    <w:p w:rsidR="005F7EDE" w:rsidRPr="00951C57" w:rsidRDefault="005F7EDE" w:rsidP="001773FD">
      <w:pPr>
        <w:spacing w:after="0" w:line="240" w:lineRule="auto"/>
        <w:outlineLvl w:val="0"/>
        <w:rPr>
          <w:rFonts w:ascii="Times New Roman" w:eastAsia="Times New Roman" w:hAnsi="Times New Roman" w:cs="Times New Roman"/>
          <w:b/>
          <w:noProof/>
          <w:sz w:val="28"/>
          <w:szCs w:val="28"/>
          <w:lang w:eastAsia="tr-TR"/>
        </w:rPr>
      </w:pPr>
    </w:p>
    <w:p w:rsidR="00882EF8" w:rsidRPr="00951C57" w:rsidRDefault="00882EF8" w:rsidP="00B038F8">
      <w:pPr>
        <w:spacing w:after="160" w:line="240" w:lineRule="auto"/>
        <w:ind w:firstLine="567"/>
        <w:jc w:val="center"/>
        <w:rPr>
          <w:rFonts w:ascii="Times New Roman" w:eastAsia="Times New Roman" w:hAnsi="Times New Roman" w:cs="Times New Roman"/>
          <w:b/>
          <w:noProof/>
          <w:sz w:val="28"/>
          <w:szCs w:val="28"/>
          <w:lang w:eastAsia="tr-TR"/>
        </w:rPr>
      </w:pPr>
      <w:r w:rsidRPr="00951C57">
        <w:rPr>
          <w:rFonts w:ascii="Times New Roman" w:eastAsia="Times New Roman" w:hAnsi="Times New Roman" w:cs="Times New Roman"/>
          <w:b/>
          <w:noProof/>
          <w:sz w:val="28"/>
          <w:szCs w:val="28"/>
          <w:lang w:eastAsia="tr-TR"/>
        </w:rPr>
        <w:t>SİGORTA ACENTELERİ YÖNETMELİĞİN</w:t>
      </w:r>
      <w:r w:rsidR="008E271F" w:rsidRPr="00951C57">
        <w:rPr>
          <w:rFonts w:ascii="Times New Roman" w:eastAsia="Times New Roman" w:hAnsi="Times New Roman" w:cs="Times New Roman"/>
          <w:b/>
          <w:noProof/>
          <w:sz w:val="28"/>
          <w:szCs w:val="28"/>
          <w:lang w:eastAsia="tr-TR"/>
        </w:rPr>
        <w:t>İN UYGULANMASINA</w:t>
      </w:r>
      <w:r w:rsidRPr="00951C57">
        <w:rPr>
          <w:rFonts w:ascii="Times New Roman" w:eastAsia="Times New Roman" w:hAnsi="Times New Roman" w:cs="Times New Roman"/>
          <w:b/>
          <w:noProof/>
          <w:sz w:val="28"/>
          <w:szCs w:val="28"/>
          <w:lang w:eastAsia="tr-TR"/>
        </w:rPr>
        <w:t xml:space="preserve"> İLİŞKİN GENELGE</w:t>
      </w:r>
      <w:r w:rsidR="00A57274" w:rsidRPr="00951C57">
        <w:rPr>
          <w:rFonts w:ascii="Times New Roman" w:eastAsia="Times New Roman" w:hAnsi="Times New Roman" w:cs="Times New Roman"/>
          <w:b/>
          <w:noProof/>
          <w:sz w:val="28"/>
          <w:szCs w:val="28"/>
          <w:lang w:eastAsia="tr-TR"/>
        </w:rPr>
        <w:t xml:space="preserve"> </w:t>
      </w:r>
      <w:r w:rsidR="00AB61A7" w:rsidRPr="00951C57">
        <w:rPr>
          <w:rFonts w:ascii="Times New Roman" w:eastAsia="Times New Roman" w:hAnsi="Times New Roman" w:cs="Times New Roman"/>
          <w:b/>
          <w:noProof/>
          <w:sz w:val="28"/>
          <w:szCs w:val="28"/>
          <w:lang w:eastAsia="tr-TR"/>
        </w:rPr>
        <w:t>(</w:t>
      </w:r>
      <w:r w:rsidR="00E626E6" w:rsidRPr="00951C57">
        <w:rPr>
          <w:rFonts w:ascii="Times New Roman" w:eastAsia="Times New Roman" w:hAnsi="Times New Roman" w:cs="Times New Roman"/>
          <w:b/>
          <w:noProof/>
          <w:sz w:val="28"/>
          <w:szCs w:val="28"/>
          <w:lang w:eastAsia="tr-TR"/>
        </w:rPr>
        <w:t xml:space="preserve">  </w:t>
      </w:r>
      <w:r w:rsidR="00990B1B" w:rsidRPr="00951C57">
        <w:rPr>
          <w:rFonts w:ascii="Times New Roman" w:eastAsia="Times New Roman" w:hAnsi="Times New Roman" w:cs="Times New Roman"/>
          <w:b/>
          <w:noProof/>
          <w:sz w:val="28"/>
          <w:szCs w:val="28"/>
          <w:lang w:eastAsia="tr-TR"/>
        </w:rPr>
        <w:t>2016/27</w:t>
      </w:r>
      <w:r w:rsidR="00E626E6" w:rsidRPr="00951C57">
        <w:rPr>
          <w:rFonts w:ascii="Times New Roman" w:eastAsia="Times New Roman" w:hAnsi="Times New Roman" w:cs="Times New Roman"/>
          <w:b/>
          <w:noProof/>
          <w:sz w:val="28"/>
          <w:szCs w:val="28"/>
          <w:lang w:eastAsia="tr-TR"/>
        </w:rPr>
        <w:t xml:space="preserve">  </w:t>
      </w:r>
      <w:r w:rsidRPr="00951C57">
        <w:rPr>
          <w:rFonts w:ascii="Times New Roman" w:eastAsia="Times New Roman" w:hAnsi="Times New Roman" w:cs="Times New Roman"/>
          <w:b/>
          <w:noProof/>
          <w:sz w:val="28"/>
          <w:szCs w:val="28"/>
          <w:lang w:eastAsia="tr-TR"/>
        </w:rPr>
        <w:t xml:space="preserve">) </w:t>
      </w:r>
    </w:p>
    <w:p w:rsidR="0001452E" w:rsidRPr="00951C57" w:rsidRDefault="00882EF8" w:rsidP="001773FD">
      <w:pPr>
        <w:spacing w:after="0" w:line="240" w:lineRule="auto"/>
        <w:ind w:firstLine="567"/>
        <w:jc w:val="both"/>
        <w:rPr>
          <w:rFonts w:ascii="Times New Roman" w:eastAsia="Times New Roman" w:hAnsi="Times New Roman" w:cs="Times New Roman"/>
          <w:sz w:val="28"/>
          <w:szCs w:val="28"/>
          <w:lang w:eastAsia="tr-TR"/>
        </w:rPr>
      </w:pPr>
      <w:r w:rsidRPr="00951C57">
        <w:rPr>
          <w:rFonts w:ascii="Times New Roman" w:eastAsia="Times New Roman" w:hAnsi="Times New Roman" w:cs="Times New Roman"/>
          <w:noProof/>
          <w:sz w:val="28"/>
          <w:szCs w:val="28"/>
          <w:lang w:eastAsia="tr-TR"/>
        </w:rPr>
        <w:t>Bilindiği üzere, 5684 sayılı Sigortacılık Kanununa dayanılarak çıkarılan “</w:t>
      </w:r>
      <w:r w:rsidRPr="00951C57">
        <w:rPr>
          <w:rFonts w:ascii="Times New Roman" w:eastAsia="Times New Roman" w:hAnsi="Times New Roman" w:cs="Times New Roman"/>
          <w:sz w:val="28"/>
          <w:szCs w:val="28"/>
          <w:lang w:eastAsia="tr-TR"/>
        </w:rPr>
        <w:t>Sigorta Acenteleri Yönetmeliği”</w:t>
      </w:r>
      <w:r w:rsidR="00144C90" w:rsidRPr="00951C57">
        <w:rPr>
          <w:rFonts w:ascii="Times New Roman" w:eastAsia="Times New Roman" w:hAnsi="Times New Roman" w:cs="Times New Roman"/>
          <w:sz w:val="28"/>
          <w:szCs w:val="28"/>
          <w:lang w:eastAsia="tr-TR"/>
        </w:rPr>
        <w:t xml:space="preserve"> (Yönetmelik) </w:t>
      </w:r>
      <w:r w:rsidR="00CE4EF0" w:rsidRPr="00951C57">
        <w:rPr>
          <w:rFonts w:ascii="Times New Roman" w:eastAsia="Times New Roman" w:hAnsi="Times New Roman" w:cs="Times New Roman"/>
          <w:sz w:val="28"/>
          <w:szCs w:val="28"/>
          <w:lang w:eastAsia="tr-TR"/>
        </w:rPr>
        <w:t>22</w:t>
      </w:r>
      <w:r w:rsidR="00D7319B" w:rsidRPr="00951C57">
        <w:rPr>
          <w:rFonts w:ascii="Times New Roman" w:eastAsia="Times New Roman" w:hAnsi="Times New Roman" w:cs="Times New Roman"/>
          <w:sz w:val="28"/>
          <w:szCs w:val="28"/>
          <w:lang w:eastAsia="tr-TR"/>
        </w:rPr>
        <w:t>.04.2014</w:t>
      </w:r>
      <w:r w:rsidRPr="00951C57">
        <w:rPr>
          <w:rFonts w:ascii="Times New Roman" w:eastAsia="Times New Roman" w:hAnsi="Times New Roman" w:cs="Times New Roman"/>
          <w:sz w:val="28"/>
          <w:szCs w:val="28"/>
          <w:lang w:eastAsia="tr-TR"/>
        </w:rPr>
        <w:t xml:space="preserve"> tarihinde yürürlüğe girmiştir. Söz konusu Yönetmelik ile ilgili </w:t>
      </w:r>
      <w:r w:rsidR="0001452E" w:rsidRPr="00951C57">
        <w:rPr>
          <w:rFonts w:ascii="Times New Roman" w:eastAsia="Times New Roman" w:hAnsi="Times New Roman" w:cs="Times New Roman"/>
          <w:sz w:val="28"/>
          <w:szCs w:val="28"/>
          <w:lang w:eastAsia="tr-TR"/>
        </w:rPr>
        <w:t xml:space="preserve">olarak </w:t>
      </w:r>
      <w:r w:rsidRPr="00951C57">
        <w:rPr>
          <w:rFonts w:ascii="Times New Roman" w:eastAsia="Times New Roman" w:hAnsi="Times New Roman" w:cs="Times New Roman"/>
          <w:sz w:val="28"/>
          <w:szCs w:val="28"/>
          <w:lang w:eastAsia="tr-TR"/>
        </w:rPr>
        <w:t xml:space="preserve">açıklanmasında fayda görülen </w:t>
      </w:r>
      <w:r w:rsidR="0001452E" w:rsidRPr="00951C57">
        <w:rPr>
          <w:rFonts w:ascii="Times New Roman" w:eastAsia="Times New Roman" w:hAnsi="Times New Roman" w:cs="Times New Roman"/>
          <w:sz w:val="28"/>
          <w:szCs w:val="28"/>
          <w:lang w:eastAsia="tr-TR"/>
        </w:rPr>
        <w:t>h</w:t>
      </w:r>
      <w:r w:rsidR="00BD52AF" w:rsidRPr="00951C57">
        <w:rPr>
          <w:rFonts w:ascii="Times New Roman" w:eastAsia="Times New Roman" w:hAnsi="Times New Roman" w:cs="Times New Roman"/>
          <w:sz w:val="28"/>
          <w:szCs w:val="28"/>
          <w:lang w:eastAsia="tr-TR"/>
        </w:rPr>
        <w:t>ususlar aşağıda yer almaktadır.</w:t>
      </w:r>
    </w:p>
    <w:p w:rsidR="0001452E" w:rsidRPr="00951C57" w:rsidRDefault="0001452E" w:rsidP="001773FD">
      <w:pPr>
        <w:spacing w:after="0" w:line="240" w:lineRule="auto"/>
        <w:ind w:firstLine="567"/>
        <w:jc w:val="both"/>
        <w:rPr>
          <w:rFonts w:ascii="Times New Roman" w:eastAsia="Times New Roman" w:hAnsi="Times New Roman" w:cs="Times New Roman"/>
          <w:sz w:val="28"/>
          <w:szCs w:val="28"/>
          <w:lang w:eastAsia="tr-TR"/>
        </w:rPr>
      </w:pPr>
    </w:p>
    <w:p w:rsidR="00265BD8" w:rsidRPr="00951C57" w:rsidRDefault="00314E6C" w:rsidP="00F30891">
      <w:pPr>
        <w:pStyle w:val="ListeParagraf"/>
        <w:numPr>
          <w:ilvl w:val="0"/>
          <w:numId w:val="7"/>
        </w:numPr>
        <w:tabs>
          <w:tab w:val="left" w:pos="851"/>
        </w:tabs>
        <w:spacing w:after="0" w:line="240" w:lineRule="auto"/>
        <w:ind w:left="0" w:firstLine="567"/>
        <w:jc w:val="both"/>
        <w:rPr>
          <w:rFonts w:ascii="Times New Roman" w:eastAsia="Times New Roman" w:hAnsi="Times New Roman" w:cs="Times New Roman"/>
          <w:b/>
          <w:sz w:val="28"/>
          <w:szCs w:val="28"/>
          <w:lang w:eastAsia="tr-TR"/>
        </w:rPr>
      </w:pPr>
      <w:r w:rsidRPr="00951C57">
        <w:rPr>
          <w:rFonts w:ascii="Times New Roman" w:eastAsia="Times New Roman" w:hAnsi="Times New Roman" w:cs="Times New Roman"/>
          <w:b/>
          <w:sz w:val="28"/>
          <w:szCs w:val="28"/>
          <w:lang w:eastAsia="tr-TR"/>
        </w:rPr>
        <w:t>Uygu</w:t>
      </w:r>
      <w:r w:rsidR="00726D88" w:rsidRPr="00951C57">
        <w:rPr>
          <w:rFonts w:ascii="Times New Roman" w:eastAsia="Times New Roman" w:hAnsi="Times New Roman" w:cs="Times New Roman"/>
          <w:b/>
          <w:sz w:val="28"/>
          <w:szCs w:val="28"/>
          <w:lang w:eastAsia="tr-TR"/>
        </w:rPr>
        <w:t>n</w:t>
      </w:r>
      <w:r w:rsidRPr="00951C57">
        <w:rPr>
          <w:rFonts w:ascii="Times New Roman" w:eastAsia="Times New Roman" w:hAnsi="Times New Roman" w:cs="Times New Roman"/>
          <w:b/>
          <w:sz w:val="28"/>
          <w:szCs w:val="28"/>
          <w:lang w:eastAsia="tr-TR"/>
        </w:rPr>
        <w:t xml:space="preserve">luk belgesinin alınması ve Levhaya kayıt </w:t>
      </w:r>
      <w:r w:rsidR="00BD5A81" w:rsidRPr="00951C57">
        <w:rPr>
          <w:rFonts w:ascii="Times New Roman" w:eastAsia="Times New Roman" w:hAnsi="Times New Roman" w:cs="Times New Roman"/>
          <w:b/>
          <w:sz w:val="28"/>
          <w:szCs w:val="28"/>
          <w:lang w:eastAsia="tr-TR"/>
        </w:rPr>
        <w:t>ile ilgili hususlar</w:t>
      </w:r>
    </w:p>
    <w:p w:rsidR="00265BD8" w:rsidRPr="00951C57" w:rsidRDefault="00265BD8" w:rsidP="001773FD">
      <w:pPr>
        <w:spacing w:after="0" w:line="240" w:lineRule="auto"/>
        <w:ind w:firstLine="567"/>
        <w:jc w:val="both"/>
        <w:rPr>
          <w:rFonts w:ascii="Times New Roman" w:eastAsia="Times New Roman" w:hAnsi="Times New Roman" w:cs="Times New Roman"/>
          <w:sz w:val="28"/>
          <w:szCs w:val="28"/>
          <w:lang w:eastAsia="tr-TR"/>
        </w:rPr>
      </w:pPr>
    </w:p>
    <w:p w:rsidR="00146B27" w:rsidRPr="00951C57" w:rsidRDefault="00314E6C"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Uygunluk belges</w:t>
      </w:r>
      <w:r w:rsidR="00BD5A81" w:rsidRPr="00951C57">
        <w:rPr>
          <w:rFonts w:ascii="Times New Roman" w:hAnsi="Times New Roman" w:cs="Times New Roman"/>
          <w:sz w:val="28"/>
          <w:szCs w:val="28"/>
        </w:rPr>
        <w:t>inin alınması ile Levha kaydına</w:t>
      </w:r>
      <w:r w:rsidR="005E3EFF" w:rsidRPr="00951C57">
        <w:rPr>
          <w:rFonts w:ascii="Times New Roman" w:hAnsi="Times New Roman" w:cs="Times New Roman"/>
          <w:sz w:val="28"/>
          <w:szCs w:val="28"/>
        </w:rPr>
        <w:t xml:space="preserve"> ilişkin başvurular </w:t>
      </w:r>
      <w:r w:rsidR="000E1F12" w:rsidRPr="00951C57">
        <w:rPr>
          <w:rFonts w:ascii="Times New Roman" w:hAnsi="Times New Roman" w:cs="Times New Roman"/>
          <w:sz w:val="28"/>
          <w:szCs w:val="28"/>
        </w:rPr>
        <w:t>Türkiye Odalar ve Borsalar Birliği (</w:t>
      </w:r>
      <w:r w:rsidR="005E3EFF" w:rsidRPr="00951C57">
        <w:rPr>
          <w:rFonts w:ascii="Times New Roman" w:hAnsi="Times New Roman" w:cs="Times New Roman"/>
          <w:sz w:val="28"/>
          <w:szCs w:val="28"/>
        </w:rPr>
        <w:t>TOBB</w:t>
      </w:r>
      <w:r w:rsidR="000E1F12" w:rsidRPr="00951C57">
        <w:rPr>
          <w:rFonts w:ascii="Times New Roman" w:hAnsi="Times New Roman" w:cs="Times New Roman"/>
          <w:sz w:val="28"/>
          <w:szCs w:val="28"/>
        </w:rPr>
        <w:t>)</w:t>
      </w:r>
      <w:r w:rsidR="005E3EFF" w:rsidRPr="00951C57">
        <w:rPr>
          <w:rFonts w:ascii="Times New Roman" w:hAnsi="Times New Roman" w:cs="Times New Roman"/>
          <w:sz w:val="28"/>
          <w:szCs w:val="28"/>
        </w:rPr>
        <w:t xml:space="preserve"> tarafından görevlendirilmiş olan </w:t>
      </w:r>
      <w:r w:rsidR="005F1B12" w:rsidRPr="00951C57">
        <w:rPr>
          <w:rFonts w:ascii="Times New Roman" w:hAnsi="Times New Roman" w:cs="Times New Roman"/>
          <w:sz w:val="28"/>
          <w:szCs w:val="28"/>
        </w:rPr>
        <w:t>O</w:t>
      </w:r>
      <w:r w:rsidR="005E3EFF" w:rsidRPr="00951C57">
        <w:rPr>
          <w:rFonts w:ascii="Times New Roman" w:hAnsi="Times New Roman" w:cs="Times New Roman"/>
          <w:sz w:val="28"/>
          <w:szCs w:val="28"/>
        </w:rPr>
        <w:t xml:space="preserve">dalara </w:t>
      </w:r>
      <w:r w:rsidR="008E271F" w:rsidRPr="00951C57">
        <w:rPr>
          <w:rFonts w:ascii="Times New Roman" w:hAnsi="Times New Roman" w:cs="Times New Roman"/>
          <w:sz w:val="28"/>
          <w:szCs w:val="28"/>
        </w:rPr>
        <w:t>yapıl</w:t>
      </w:r>
      <w:r w:rsidR="00F11573" w:rsidRPr="00951C57">
        <w:rPr>
          <w:rFonts w:ascii="Times New Roman" w:hAnsi="Times New Roman" w:cs="Times New Roman"/>
          <w:sz w:val="28"/>
          <w:szCs w:val="28"/>
        </w:rPr>
        <w:t>maktadır</w:t>
      </w:r>
      <w:r w:rsidR="00BD5A81" w:rsidRPr="00951C57">
        <w:rPr>
          <w:rFonts w:ascii="Times New Roman" w:hAnsi="Times New Roman" w:cs="Times New Roman"/>
          <w:sz w:val="28"/>
          <w:szCs w:val="28"/>
        </w:rPr>
        <w:t xml:space="preserve">. </w:t>
      </w:r>
      <w:r w:rsidR="005E3EFF" w:rsidRPr="00951C57">
        <w:rPr>
          <w:rFonts w:ascii="Times New Roman" w:hAnsi="Times New Roman" w:cs="Times New Roman"/>
          <w:sz w:val="28"/>
          <w:szCs w:val="28"/>
        </w:rPr>
        <w:t xml:space="preserve">Başvurularda </w:t>
      </w:r>
      <w:r w:rsidR="008246A3" w:rsidRPr="00951C57">
        <w:rPr>
          <w:rFonts w:ascii="Times New Roman" w:hAnsi="Times New Roman" w:cs="Times New Roman"/>
          <w:sz w:val="28"/>
          <w:szCs w:val="28"/>
        </w:rPr>
        <w:t>TOBB</w:t>
      </w:r>
      <w:r w:rsidR="005E3EFF" w:rsidRPr="00951C57">
        <w:rPr>
          <w:rFonts w:ascii="Times New Roman" w:hAnsi="Times New Roman" w:cs="Times New Roman"/>
          <w:sz w:val="28"/>
          <w:szCs w:val="28"/>
        </w:rPr>
        <w:t xml:space="preserve"> tarafından istenilen bilgi ve belgeler aran</w:t>
      </w:r>
      <w:r w:rsidR="00F11573" w:rsidRPr="00951C57">
        <w:rPr>
          <w:rFonts w:ascii="Times New Roman" w:hAnsi="Times New Roman" w:cs="Times New Roman"/>
          <w:sz w:val="28"/>
          <w:szCs w:val="28"/>
        </w:rPr>
        <w:t>maktadır</w:t>
      </w:r>
      <w:r w:rsidR="005E3EFF" w:rsidRPr="00951C57">
        <w:rPr>
          <w:rFonts w:ascii="Times New Roman" w:hAnsi="Times New Roman" w:cs="Times New Roman"/>
          <w:sz w:val="28"/>
          <w:szCs w:val="28"/>
        </w:rPr>
        <w:t xml:space="preserve">. </w:t>
      </w:r>
    </w:p>
    <w:p w:rsidR="00360AA8" w:rsidRPr="00951C57" w:rsidRDefault="00B85D11" w:rsidP="00B04882">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Y</w:t>
      </w:r>
      <w:r w:rsidR="00BD5A81" w:rsidRPr="00951C57">
        <w:rPr>
          <w:rFonts w:ascii="Times New Roman" w:hAnsi="Times New Roman" w:cs="Times New Roman"/>
          <w:sz w:val="28"/>
          <w:szCs w:val="28"/>
        </w:rPr>
        <w:t>apılan başvurulara</w:t>
      </w:r>
      <w:r w:rsidR="00DB4746" w:rsidRPr="00951C57">
        <w:rPr>
          <w:rFonts w:ascii="Times New Roman" w:hAnsi="Times New Roman" w:cs="Times New Roman"/>
          <w:sz w:val="28"/>
          <w:szCs w:val="28"/>
        </w:rPr>
        <w:t xml:space="preserve"> </w:t>
      </w:r>
      <w:r w:rsidR="005E3EFF" w:rsidRPr="00951C57">
        <w:rPr>
          <w:rFonts w:ascii="Times New Roman" w:hAnsi="Times New Roman" w:cs="Times New Roman"/>
          <w:sz w:val="28"/>
          <w:szCs w:val="28"/>
        </w:rPr>
        <w:t>ilişkin tüm bilgi ve belgeler</w:t>
      </w:r>
      <w:r w:rsidR="00265BD8" w:rsidRPr="00951C57">
        <w:rPr>
          <w:rFonts w:ascii="Times New Roman" w:hAnsi="Times New Roman" w:cs="Times New Roman"/>
          <w:sz w:val="28"/>
          <w:szCs w:val="28"/>
        </w:rPr>
        <w:t xml:space="preserve"> </w:t>
      </w:r>
      <w:r w:rsidR="005E3EFF" w:rsidRPr="00951C57">
        <w:rPr>
          <w:rFonts w:ascii="Times New Roman" w:hAnsi="Times New Roman" w:cs="Times New Roman"/>
          <w:sz w:val="28"/>
          <w:szCs w:val="28"/>
        </w:rPr>
        <w:t>i</w:t>
      </w:r>
      <w:r w:rsidR="00265BD8" w:rsidRPr="00951C57">
        <w:rPr>
          <w:rFonts w:ascii="Times New Roman" w:hAnsi="Times New Roman" w:cs="Times New Roman"/>
          <w:sz w:val="28"/>
          <w:szCs w:val="28"/>
        </w:rPr>
        <w:t>lgili Oda</w:t>
      </w:r>
      <w:r w:rsidR="0035709D" w:rsidRPr="00951C57">
        <w:rPr>
          <w:rFonts w:ascii="Times New Roman" w:hAnsi="Times New Roman" w:cs="Times New Roman"/>
          <w:sz w:val="28"/>
          <w:szCs w:val="28"/>
        </w:rPr>
        <w:t>ya</w:t>
      </w:r>
      <w:r w:rsidR="00265BD8" w:rsidRPr="00951C57">
        <w:rPr>
          <w:rFonts w:ascii="Times New Roman" w:hAnsi="Times New Roman" w:cs="Times New Roman"/>
          <w:sz w:val="28"/>
          <w:szCs w:val="28"/>
        </w:rPr>
        <w:t xml:space="preserve"> ver</w:t>
      </w:r>
      <w:r w:rsidR="005E3EFF" w:rsidRPr="00951C57">
        <w:rPr>
          <w:rFonts w:ascii="Times New Roman" w:hAnsi="Times New Roman" w:cs="Times New Roman"/>
          <w:sz w:val="28"/>
          <w:szCs w:val="28"/>
        </w:rPr>
        <w:t xml:space="preserve">ilecektir. </w:t>
      </w:r>
      <w:r w:rsidR="00360AA8" w:rsidRPr="00951C57">
        <w:rPr>
          <w:rFonts w:ascii="Times New Roman" w:hAnsi="Times New Roman" w:cs="Times New Roman"/>
          <w:sz w:val="28"/>
          <w:szCs w:val="28"/>
        </w:rPr>
        <w:t xml:space="preserve">Başvurularda Odanın </w:t>
      </w:r>
      <w:proofErr w:type="spellStart"/>
      <w:r w:rsidR="00360AA8" w:rsidRPr="00951C57">
        <w:rPr>
          <w:rFonts w:ascii="Times New Roman" w:hAnsi="Times New Roman" w:cs="Times New Roman"/>
          <w:sz w:val="28"/>
          <w:szCs w:val="28"/>
        </w:rPr>
        <w:t>tereddüte</w:t>
      </w:r>
      <w:proofErr w:type="spellEnd"/>
      <w:r w:rsidR="00360AA8" w:rsidRPr="00951C57">
        <w:rPr>
          <w:rFonts w:ascii="Times New Roman" w:hAnsi="Times New Roman" w:cs="Times New Roman"/>
          <w:sz w:val="28"/>
          <w:szCs w:val="28"/>
        </w:rPr>
        <w:t xml:space="preserve"> düşmesi durumunda (öğrenim düzeyi, mesleki deneyim vb.), mevcut bilgi ve belgelerin öncelikle ilgili Oda tarafından incelenmesi ve sonuçlandırılması, Oda</w:t>
      </w:r>
      <w:r w:rsidR="009E6C23" w:rsidRPr="00951C57">
        <w:rPr>
          <w:rFonts w:ascii="Times New Roman" w:hAnsi="Times New Roman" w:cs="Times New Roman"/>
          <w:sz w:val="28"/>
          <w:szCs w:val="28"/>
        </w:rPr>
        <w:t>nın</w:t>
      </w:r>
      <w:r w:rsidR="00360AA8" w:rsidRPr="00951C57">
        <w:rPr>
          <w:rFonts w:ascii="Times New Roman" w:hAnsi="Times New Roman" w:cs="Times New Roman"/>
          <w:sz w:val="28"/>
          <w:szCs w:val="28"/>
        </w:rPr>
        <w:t xml:space="preserve"> karar ve</w:t>
      </w:r>
      <w:r w:rsidR="009E6C23" w:rsidRPr="00951C57">
        <w:rPr>
          <w:rFonts w:ascii="Times New Roman" w:hAnsi="Times New Roman" w:cs="Times New Roman"/>
          <w:sz w:val="28"/>
          <w:szCs w:val="28"/>
        </w:rPr>
        <w:t>rememesi halinde</w:t>
      </w:r>
      <w:r w:rsidR="00360AA8" w:rsidRPr="00951C57">
        <w:rPr>
          <w:rFonts w:ascii="Times New Roman" w:hAnsi="Times New Roman" w:cs="Times New Roman"/>
          <w:sz w:val="28"/>
          <w:szCs w:val="28"/>
        </w:rPr>
        <w:t xml:space="preserve"> ise</w:t>
      </w:r>
      <w:r w:rsidR="00360AA8" w:rsidRPr="00951C57">
        <w:rPr>
          <w:rFonts w:ascii="Times New Roman" w:hAnsi="Times New Roman" w:cs="Times New Roman"/>
          <w:color w:val="FF0000"/>
          <w:sz w:val="28"/>
          <w:szCs w:val="28"/>
        </w:rPr>
        <w:t xml:space="preserve"> </w:t>
      </w:r>
      <w:r w:rsidR="00360AA8" w:rsidRPr="00951C57">
        <w:rPr>
          <w:rFonts w:ascii="Times New Roman" w:hAnsi="Times New Roman" w:cs="Times New Roman"/>
          <w:sz w:val="28"/>
          <w:szCs w:val="28"/>
        </w:rPr>
        <w:t xml:space="preserve">incelenmek üzere TOBB’a gönderilmesi gerekmektedir. Bu kapsamdaki hususlar TOBB tarafından incelenerek sonuçlandırılacaktır. Tereddütlerin TOBB tarafından da giderilememesi halinde, </w:t>
      </w:r>
      <w:r w:rsidR="00360AA8" w:rsidRPr="00951C57">
        <w:rPr>
          <w:rFonts w:ascii="Times New Roman" w:hAnsi="Times New Roman" w:cs="Times New Roman"/>
          <w:sz w:val="28"/>
          <w:szCs w:val="28"/>
          <w:lang w:val="fi-FI"/>
        </w:rPr>
        <w:t xml:space="preserve">ilke ve politika belirlenmesine yönelik işlem tesis edilmesi gereken genel nitelikli konularda </w:t>
      </w:r>
      <w:r w:rsidR="00360AA8" w:rsidRPr="00951C57">
        <w:rPr>
          <w:rFonts w:ascii="Times New Roman" w:hAnsi="Times New Roman" w:cs="Times New Roman"/>
          <w:sz w:val="28"/>
          <w:szCs w:val="28"/>
        </w:rPr>
        <w:t>TOBB tarafından</w:t>
      </w:r>
      <w:r w:rsidR="00360AA8" w:rsidRPr="00951C57">
        <w:rPr>
          <w:rFonts w:ascii="Times New Roman" w:hAnsi="Times New Roman" w:cs="Times New Roman"/>
          <w:sz w:val="28"/>
          <w:szCs w:val="28"/>
          <w:lang w:val="fi-FI"/>
        </w:rPr>
        <w:t xml:space="preserve"> Müsteşarlığımızdan görüş alınması da mümkündür. </w:t>
      </w:r>
      <w:r w:rsidR="00360AA8" w:rsidRPr="00951C57">
        <w:rPr>
          <w:rFonts w:ascii="Times New Roman" w:hAnsi="Times New Roman" w:cs="Times New Roman"/>
          <w:sz w:val="28"/>
          <w:szCs w:val="28"/>
        </w:rPr>
        <w:t>Bu itibarla, giderilemeyen tereddütlü durumlar dışında, yalnızca belgeleri tamamlanmış ve mevzuatta aranan şartları taşıyan başvurular TOBB tarafından Müsteşarlığımıza iletilecektir.</w:t>
      </w:r>
    </w:p>
    <w:p w:rsidR="00146B27" w:rsidRPr="00951C57" w:rsidRDefault="005F1B12"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Odalara yapılan tüm başvurularda ilgililerin adli sicil belgesinde herhangi bir</w:t>
      </w:r>
      <w:r w:rsidR="008177E8" w:rsidRPr="00951C57">
        <w:rPr>
          <w:rFonts w:ascii="Times New Roman" w:hAnsi="Times New Roman" w:cs="Times New Roman"/>
          <w:sz w:val="28"/>
          <w:szCs w:val="28"/>
        </w:rPr>
        <w:t xml:space="preserve"> kaydın bulunması durumunda, </w:t>
      </w:r>
      <w:r w:rsidRPr="00951C57">
        <w:rPr>
          <w:rFonts w:ascii="Times New Roman" w:hAnsi="Times New Roman" w:cs="Times New Roman"/>
          <w:sz w:val="28"/>
          <w:szCs w:val="28"/>
        </w:rPr>
        <w:t xml:space="preserve">konu hakkındaki bilgi ve belgelerin ilgili Oda tarafından TOBB’a gönderilmesi gerekmektedir. Bu kapsamdaki hususlar TOBB tarafından </w:t>
      </w:r>
      <w:r w:rsidR="00BD5A81" w:rsidRPr="00951C57">
        <w:rPr>
          <w:rFonts w:ascii="Times New Roman" w:hAnsi="Times New Roman" w:cs="Times New Roman"/>
          <w:sz w:val="28"/>
          <w:szCs w:val="28"/>
        </w:rPr>
        <w:t>incelenerek sonuçlandırılacaktır.</w:t>
      </w:r>
    </w:p>
    <w:p w:rsidR="00265BD8" w:rsidRPr="00951C57" w:rsidRDefault="004E310D" w:rsidP="00360AA8">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B</w:t>
      </w:r>
      <w:r w:rsidR="00EB5FA5" w:rsidRPr="00951C57">
        <w:rPr>
          <w:rFonts w:ascii="Times New Roman" w:hAnsi="Times New Roman" w:cs="Times New Roman"/>
          <w:sz w:val="28"/>
          <w:szCs w:val="28"/>
        </w:rPr>
        <w:t>aşvuruların değerlendirilmesi amacıyla ilgililer tarafından Müsteşarlığımız</w:t>
      </w:r>
      <w:r w:rsidR="00BD5A81" w:rsidRPr="00951C57">
        <w:rPr>
          <w:rFonts w:ascii="Times New Roman" w:hAnsi="Times New Roman" w:cs="Times New Roman"/>
          <w:sz w:val="28"/>
          <w:szCs w:val="28"/>
        </w:rPr>
        <w:t xml:space="preserve">a </w:t>
      </w:r>
      <w:r w:rsidR="00697FAF" w:rsidRPr="00951C57">
        <w:rPr>
          <w:rFonts w:ascii="Times New Roman" w:hAnsi="Times New Roman" w:cs="Times New Roman"/>
          <w:sz w:val="28"/>
          <w:szCs w:val="28"/>
        </w:rPr>
        <w:t xml:space="preserve">iletilen </w:t>
      </w:r>
      <w:r w:rsidR="00BD5A81" w:rsidRPr="00951C57">
        <w:rPr>
          <w:rFonts w:ascii="Times New Roman" w:hAnsi="Times New Roman" w:cs="Times New Roman"/>
          <w:sz w:val="28"/>
          <w:szCs w:val="28"/>
        </w:rPr>
        <w:t xml:space="preserve">münferit </w:t>
      </w:r>
      <w:r w:rsidR="00697FAF" w:rsidRPr="00951C57">
        <w:rPr>
          <w:rFonts w:ascii="Times New Roman" w:hAnsi="Times New Roman" w:cs="Times New Roman"/>
          <w:sz w:val="28"/>
          <w:szCs w:val="28"/>
        </w:rPr>
        <w:t xml:space="preserve">bilgi ve </w:t>
      </w:r>
      <w:r w:rsidR="00BD5A81" w:rsidRPr="00951C57">
        <w:rPr>
          <w:rFonts w:ascii="Times New Roman" w:hAnsi="Times New Roman" w:cs="Times New Roman"/>
          <w:sz w:val="28"/>
          <w:szCs w:val="28"/>
        </w:rPr>
        <w:t>belge</w:t>
      </w:r>
      <w:r w:rsidR="00697FAF" w:rsidRPr="00951C57">
        <w:rPr>
          <w:rFonts w:ascii="Times New Roman" w:hAnsi="Times New Roman" w:cs="Times New Roman"/>
          <w:sz w:val="28"/>
          <w:szCs w:val="28"/>
        </w:rPr>
        <w:t xml:space="preserve">ler </w:t>
      </w:r>
      <w:r w:rsidR="00BD5A81" w:rsidRPr="00951C57">
        <w:rPr>
          <w:rFonts w:ascii="Times New Roman" w:hAnsi="Times New Roman" w:cs="Times New Roman"/>
          <w:sz w:val="28"/>
          <w:szCs w:val="28"/>
        </w:rPr>
        <w:t>değerlendirme</w:t>
      </w:r>
      <w:r w:rsidRPr="00951C57">
        <w:rPr>
          <w:rFonts w:ascii="Times New Roman" w:hAnsi="Times New Roman" w:cs="Times New Roman"/>
          <w:sz w:val="28"/>
          <w:szCs w:val="28"/>
        </w:rPr>
        <w:t>ye alınmayacaktır.</w:t>
      </w:r>
    </w:p>
    <w:p w:rsidR="007410F3" w:rsidRPr="00951C57" w:rsidRDefault="007410F3" w:rsidP="007410F3">
      <w:pPr>
        <w:pStyle w:val="ListeParagraf"/>
        <w:tabs>
          <w:tab w:val="left" w:pos="851"/>
          <w:tab w:val="left" w:pos="993"/>
        </w:tabs>
        <w:spacing w:after="0" w:line="240" w:lineRule="auto"/>
        <w:ind w:left="567"/>
        <w:jc w:val="both"/>
        <w:rPr>
          <w:rFonts w:ascii="Times New Roman" w:hAnsi="Times New Roman" w:cs="Times New Roman"/>
          <w:sz w:val="28"/>
          <w:szCs w:val="28"/>
        </w:rPr>
      </w:pPr>
    </w:p>
    <w:p w:rsidR="00626EC7" w:rsidRPr="00951C57" w:rsidRDefault="00626EC7" w:rsidP="00626EC7">
      <w:pPr>
        <w:pStyle w:val="ListeParagraf"/>
        <w:numPr>
          <w:ilvl w:val="0"/>
          <w:numId w:val="15"/>
        </w:numPr>
        <w:tabs>
          <w:tab w:val="left" w:pos="851"/>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t>Kanunun 23 üncü maddesinin üçüncü fıkrası uyarınca acentelik faaliyeti yapacak olan bankalar ile özel kanunla kurulmuş ve kendisine sigorta acenteliği yapma yetkisi tanınan kurumlar</w:t>
      </w:r>
    </w:p>
    <w:p w:rsidR="00626EC7" w:rsidRPr="00951C57" w:rsidRDefault="00626EC7" w:rsidP="00626EC7">
      <w:pPr>
        <w:pStyle w:val="ListeParagraf"/>
        <w:tabs>
          <w:tab w:val="left" w:pos="851"/>
          <w:tab w:val="left" w:pos="993"/>
        </w:tabs>
        <w:spacing w:after="0" w:line="240" w:lineRule="auto"/>
        <w:ind w:left="0" w:firstLine="567"/>
        <w:jc w:val="both"/>
        <w:rPr>
          <w:rFonts w:ascii="Times New Roman" w:hAnsi="Times New Roman" w:cs="Times New Roman"/>
          <w:sz w:val="28"/>
          <w:szCs w:val="28"/>
        </w:rPr>
      </w:pPr>
    </w:p>
    <w:p w:rsidR="00593AAE" w:rsidRPr="00951C57" w:rsidRDefault="00626EC7" w:rsidP="00037C01">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Kanunun 23 üncü mad</w:t>
      </w:r>
      <w:r w:rsidR="007D6F51" w:rsidRPr="00951C57">
        <w:rPr>
          <w:rFonts w:ascii="Times New Roman" w:hAnsi="Times New Roman" w:cs="Times New Roman"/>
          <w:sz w:val="28"/>
          <w:szCs w:val="28"/>
        </w:rPr>
        <w:t>desinin üçüncü fıkrası uyarınca sigorta acenteliği</w:t>
      </w:r>
      <w:r w:rsidRPr="00951C57">
        <w:rPr>
          <w:rFonts w:ascii="Times New Roman" w:hAnsi="Times New Roman" w:cs="Times New Roman"/>
          <w:sz w:val="28"/>
          <w:szCs w:val="28"/>
        </w:rPr>
        <w:t xml:space="preserve"> faaliyeti</w:t>
      </w:r>
      <w:r w:rsidR="007D6F51" w:rsidRPr="00951C57">
        <w:rPr>
          <w:rFonts w:ascii="Times New Roman" w:hAnsi="Times New Roman" w:cs="Times New Roman"/>
          <w:sz w:val="28"/>
          <w:szCs w:val="28"/>
        </w:rPr>
        <w:t>nde bulunacak</w:t>
      </w:r>
      <w:r w:rsidRPr="00951C57">
        <w:rPr>
          <w:rFonts w:ascii="Times New Roman" w:hAnsi="Times New Roman" w:cs="Times New Roman"/>
          <w:sz w:val="28"/>
          <w:szCs w:val="28"/>
        </w:rPr>
        <w:t xml:space="preserve"> olan bankalar;</w:t>
      </w:r>
      <w:r w:rsidR="00581BEE" w:rsidRPr="00951C57">
        <w:rPr>
          <w:rFonts w:ascii="Times New Roman" w:hAnsi="Times New Roman" w:cs="Times New Roman"/>
          <w:sz w:val="28"/>
          <w:szCs w:val="28"/>
        </w:rPr>
        <w:t xml:space="preserve"> 5411 sayılı Bankacılık Kanununun </w:t>
      </w:r>
      <w:r w:rsidR="00037C01" w:rsidRPr="00951C57">
        <w:rPr>
          <w:rFonts w:ascii="Times New Roman" w:hAnsi="Times New Roman" w:cs="Times New Roman"/>
          <w:sz w:val="28"/>
          <w:szCs w:val="28"/>
        </w:rPr>
        <w:t>3 üncü maddesinde</w:t>
      </w:r>
      <w:r w:rsidR="00581BEE" w:rsidRPr="00951C57">
        <w:rPr>
          <w:rFonts w:ascii="Times New Roman" w:hAnsi="Times New Roman" w:cs="Times New Roman"/>
          <w:sz w:val="28"/>
          <w:szCs w:val="28"/>
        </w:rPr>
        <w:t xml:space="preserve"> </w:t>
      </w:r>
      <w:r w:rsidR="00037C01" w:rsidRPr="00951C57">
        <w:rPr>
          <w:rFonts w:ascii="Times New Roman" w:hAnsi="Times New Roman" w:cs="Times New Roman"/>
          <w:sz w:val="28"/>
          <w:szCs w:val="28"/>
        </w:rPr>
        <w:t>tanımlanan mevduat bankaları ve katılım bankaları ile kalkınma ve yatırım bankalarıdır. Bu kapsamda yer alan b</w:t>
      </w:r>
      <w:r w:rsidR="007D6F51" w:rsidRPr="00951C57">
        <w:rPr>
          <w:rFonts w:ascii="Times New Roman" w:hAnsi="Times New Roman" w:cs="Times New Roman"/>
          <w:sz w:val="28"/>
          <w:szCs w:val="28"/>
        </w:rPr>
        <w:t xml:space="preserve">ankalar için Levha kayıt şartı bulunmamaktadır. </w:t>
      </w:r>
    </w:p>
    <w:p w:rsidR="00BD52AF" w:rsidRPr="00951C57" w:rsidRDefault="00626EC7" w:rsidP="00905BA0">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lastRenderedPageBreak/>
        <w:t>Kanunun 23</w:t>
      </w:r>
      <w:r w:rsidR="00C65925" w:rsidRPr="00951C57">
        <w:rPr>
          <w:rFonts w:ascii="Times New Roman" w:hAnsi="Times New Roman" w:cs="Times New Roman"/>
          <w:sz w:val="28"/>
          <w:szCs w:val="28"/>
        </w:rPr>
        <w:t xml:space="preserve"> üncü maddesinin üçüncü fıkrasında yer alan </w:t>
      </w:r>
      <w:r w:rsidRPr="00951C57">
        <w:rPr>
          <w:rFonts w:ascii="Times New Roman" w:hAnsi="Times New Roman" w:cs="Times New Roman"/>
          <w:sz w:val="28"/>
          <w:szCs w:val="28"/>
        </w:rPr>
        <w:t>özel kanunla kurulmuş ve kendisine sigorta acenteliği yapma yetkisi tanınan kurum</w:t>
      </w:r>
      <w:r w:rsidR="00037C01" w:rsidRPr="00951C57">
        <w:rPr>
          <w:rFonts w:ascii="Times New Roman" w:hAnsi="Times New Roman" w:cs="Times New Roman"/>
          <w:sz w:val="28"/>
          <w:szCs w:val="28"/>
        </w:rPr>
        <w:t>/kuruluşlar</w:t>
      </w:r>
      <w:r w:rsidRPr="00951C57">
        <w:rPr>
          <w:rFonts w:ascii="Times New Roman" w:hAnsi="Times New Roman" w:cs="Times New Roman"/>
          <w:sz w:val="28"/>
          <w:szCs w:val="28"/>
        </w:rPr>
        <w:t xml:space="preserve">; </w:t>
      </w:r>
      <w:r w:rsidR="00581BEE" w:rsidRPr="00951C57">
        <w:rPr>
          <w:rFonts w:ascii="Times New Roman" w:hAnsi="Times New Roman" w:cs="Times New Roman"/>
          <w:sz w:val="28"/>
          <w:szCs w:val="28"/>
        </w:rPr>
        <w:t>kuruluş kanunuyla bizzat sigorta acenteliğ</w:t>
      </w:r>
      <w:r w:rsidR="00037C01" w:rsidRPr="00951C57">
        <w:rPr>
          <w:rFonts w:ascii="Times New Roman" w:hAnsi="Times New Roman" w:cs="Times New Roman"/>
          <w:sz w:val="28"/>
          <w:szCs w:val="28"/>
        </w:rPr>
        <w:t>i yapma yetkisi tanınan kurum/</w:t>
      </w:r>
      <w:r w:rsidR="00581BEE" w:rsidRPr="00951C57">
        <w:rPr>
          <w:rFonts w:ascii="Times New Roman" w:hAnsi="Times New Roman" w:cs="Times New Roman"/>
          <w:sz w:val="28"/>
          <w:szCs w:val="28"/>
        </w:rPr>
        <w:t>kuruluşlardır.</w:t>
      </w:r>
      <w:r w:rsidR="00081A40" w:rsidRPr="00951C57">
        <w:rPr>
          <w:rFonts w:ascii="Times New Roman" w:hAnsi="Times New Roman" w:cs="Times New Roman"/>
          <w:sz w:val="28"/>
          <w:szCs w:val="28"/>
        </w:rPr>
        <w:t xml:space="preserve"> </w:t>
      </w:r>
      <w:r w:rsidR="003121D9" w:rsidRPr="00951C57">
        <w:rPr>
          <w:rFonts w:ascii="Times New Roman" w:hAnsi="Times New Roman" w:cs="Times New Roman"/>
          <w:sz w:val="28"/>
          <w:szCs w:val="28"/>
        </w:rPr>
        <w:t xml:space="preserve">Bu </w:t>
      </w:r>
      <w:r w:rsidR="00C65925" w:rsidRPr="00951C57">
        <w:rPr>
          <w:rFonts w:ascii="Times New Roman" w:hAnsi="Times New Roman" w:cs="Times New Roman"/>
          <w:sz w:val="28"/>
          <w:szCs w:val="28"/>
        </w:rPr>
        <w:t xml:space="preserve">kurum/kuruluşlar için Levha kayıt şartı bulunmamaktadır. </w:t>
      </w:r>
      <w:r w:rsidR="00037C01" w:rsidRPr="00951C57">
        <w:rPr>
          <w:rFonts w:ascii="Times New Roman" w:hAnsi="Times New Roman" w:cs="Times New Roman"/>
          <w:sz w:val="28"/>
          <w:szCs w:val="28"/>
        </w:rPr>
        <w:t>Bu kapsamda yer alan kurum/</w:t>
      </w:r>
      <w:r w:rsidR="003121D9" w:rsidRPr="00951C57">
        <w:rPr>
          <w:rFonts w:ascii="Times New Roman" w:hAnsi="Times New Roman" w:cs="Times New Roman"/>
          <w:sz w:val="28"/>
          <w:szCs w:val="28"/>
        </w:rPr>
        <w:t xml:space="preserve">kuruluşlardan bazıları şunlardır; </w:t>
      </w:r>
      <w:r w:rsidR="00C314F0" w:rsidRPr="00951C57">
        <w:rPr>
          <w:rFonts w:ascii="Times New Roman" w:hAnsi="Times New Roman" w:cs="Times New Roman"/>
          <w:sz w:val="28"/>
          <w:szCs w:val="28"/>
        </w:rPr>
        <w:t>1581 sayılı Kanun kapsamında Tarım Kredi Kooperatifleri ve Bölge Birlikleri, 6964 sayılı Kanun kapsamında Ziraat Odaları, 6475 sayılı Kanun kapsamında Posta ve Te</w:t>
      </w:r>
      <w:r w:rsidR="00905BA0" w:rsidRPr="00951C57">
        <w:rPr>
          <w:rFonts w:ascii="Times New Roman" w:hAnsi="Times New Roman" w:cs="Times New Roman"/>
          <w:sz w:val="28"/>
          <w:szCs w:val="28"/>
        </w:rPr>
        <w:t>lgraf Teşkilatı Anonim Şirketi.</w:t>
      </w:r>
    </w:p>
    <w:p w:rsidR="001A278D" w:rsidRPr="00951C57" w:rsidRDefault="001A278D" w:rsidP="001A278D">
      <w:pPr>
        <w:pStyle w:val="ListeParagraf"/>
        <w:tabs>
          <w:tab w:val="left" w:pos="851"/>
          <w:tab w:val="left" w:pos="993"/>
        </w:tabs>
        <w:spacing w:after="0" w:line="240" w:lineRule="auto"/>
        <w:ind w:left="567"/>
        <w:jc w:val="both"/>
        <w:rPr>
          <w:rFonts w:ascii="Times New Roman" w:hAnsi="Times New Roman" w:cs="Times New Roman"/>
          <w:sz w:val="28"/>
          <w:szCs w:val="28"/>
        </w:rPr>
      </w:pPr>
    </w:p>
    <w:p w:rsidR="001A278D" w:rsidRPr="00951C57" w:rsidRDefault="00A61867" w:rsidP="00F30891">
      <w:pPr>
        <w:pStyle w:val="ListeParagraf"/>
        <w:numPr>
          <w:ilvl w:val="0"/>
          <w:numId w:val="15"/>
        </w:numPr>
        <w:tabs>
          <w:tab w:val="left" w:pos="851"/>
        </w:tabs>
        <w:spacing w:after="0" w:line="240" w:lineRule="auto"/>
        <w:ind w:left="0" w:firstLine="567"/>
        <w:rPr>
          <w:rFonts w:ascii="Times New Roman" w:hAnsi="Times New Roman" w:cs="Times New Roman"/>
          <w:b/>
          <w:sz w:val="28"/>
          <w:szCs w:val="28"/>
        </w:rPr>
      </w:pPr>
      <w:r w:rsidRPr="00951C57">
        <w:rPr>
          <w:rFonts w:ascii="Times New Roman" w:hAnsi="Times New Roman" w:cs="Times New Roman"/>
          <w:b/>
          <w:sz w:val="28"/>
          <w:szCs w:val="28"/>
        </w:rPr>
        <w:t>V</w:t>
      </w:r>
      <w:r w:rsidR="001A278D" w:rsidRPr="00951C57">
        <w:rPr>
          <w:rFonts w:ascii="Times New Roman" w:hAnsi="Times New Roman" w:cs="Times New Roman"/>
          <w:b/>
          <w:sz w:val="28"/>
          <w:szCs w:val="28"/>
        </w:rPr>
        <w:t>akıf, dern</w:t>
      </w:r>
      <w:r w:rsidRPr="00951C57">
        <w:rPr>
          <w:rFonts w:ascii="Times New Roman" w:hAnsi="Times New Roman" w:cs="Times New Roman"/>
          <w:b/>
          <w:sz w:val="28"/>
          <w:szCs w:val="28"/>
        </w:rPr>
        <w:t xml:space="preserve">ek, kooperatif, birlik </w:t>
      </w:r>
      <w:r w:rsidR="001A278D" w:rsidRPr="00951C57">
        <w:rPr>
          <w:rFonts w:ascii="Times New Roman" w:hAnsi="Times New Roman" w:cs="Times New Roman"/>
          <w:b/>
          <w:sz w:val="28"/>
          <w:szCs w:val="28"/>
        </w:rPr>
        <w:t>vb. kurum/kuruluşlar</w:t>
      </w:r>
    </w:p>
    <w:p w:rsidR="001A278D" w:rsidRPr="00951C57" w:rsidRDefault="001A278D" w:rsidP="001A278D">
      <w:pPr>
        <w:spacing w:after="0" w:line="240" w:lineRule="auto"/>
        <w:ind w:firstLine="567"/>
        <w:jc w:val="both"/>
        <w:rPr>
          <w:rFonts w:ascii="Times New Roman" w:hAnsi="Times New Roman" w:cs="Times New Roman"/>
          <w:sz w:val="28"/>
          <w:szCs w:val="28"/>
        </w:rPr>
      </w:pPr>
    </w:p>
    <w:p w:rsidR="001A278D" w:rsidRPr="00951C57" w:rsidRDefault="001A278D"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 xml:space="preserve">Vakıf, dernek, kooperatif, birlik vb. kurum/kuruluşların sigorta acenteliği faaliyetinde bulunulabilmesini </w:t>
      </w:r>
      <w:proofErr w:type="spellStart"/>
      <w:r w:rsidRPr="00951C57">
        <w:rPr>
          <w:rFonts w:ascii="Times New Roman" w:hAnsi="Times New Roman" w:cs="Times New Roman"/>
          <w:sz w:val="28"/>
          <w:szCs w:val="28"/>
        </w:rPr>
        <w:t>teminen</w:t>
      </w:r>
      <w:proofErr w:type="spellEnd"/>
      <w:r w:rsidRPr="00951C57">
        <w:rPr>
          <w:rFonts w:ascii="Times New Roman" w:hAnsi="Times New Roman" w:cs="Times New Roman"/>
          <w:sz w:val="28"/>
          <w:szCs w:val="28"/>
        </w:rPr>
        <w:t xml:space="preserve"> ayrı bir </w:t>
      </w:r>
      <w:r w:rsidR="00631110" w:rsidRPr="00951C57">
        <w:rPr>
          <w:rFonts w:ascii="Times New Roman" w:hAnsi="Times New Roman" w:cs="Times New Roman"/>
          <w:sz w:val="28"/>
          <w:szCs w:val="28"/>
        </w:rPr>
        <w:t>tüzel kişi sigorta acentesi (</w:t>
      </w:r>
      <w:r w:rsidRPr="00951C57">
        <w:rPr>
          <w:rFonts w:ascii="Times New Roman" w:hAnsi="Times New Roman" w:cs="Times New Roman"/>
          <w:sz w:val="28"/>
          <w:szCs w:val="28"/>
        </w:rPr>
        <w:t>A.Ş</w:t>
      </w:r>
      <w:proofErr w:type="gramStart"/>
      <w:r w:rsidRPr="00951C57">
        <w:rPr>
          <w:rFonts w:ascii="Times New Roman" w:hAnsi="Times New Roman" w:cs="Times New Roman"/>
          <w:sz w:val="28"/>
          <w:szCs w:val="28"/>
        </w:rPr>
        <w:t>.,</w:t>
      </w:r>
      <w:proofErr w:type="gramEnd"/>
      <w:r w:rsidRPr="00951C57">
        <w:rPr>
          <w:rFonts w:ascii="Times New Roman" w:hAnsi="Times New Roman" w:cs="Times New Roman"/>
          <w:sz w:val="28"/>
          <w:szCs w:val="28"/>
        </w:rPr>
        <w:t xml:space="preserve"> Ltd. vb.)  kurması gerekmektedir. </w:t>
      </w:r>
      <w:r w:rsidR="009F6401" w:rsidRPr="00951C57">
        <w:rPr>
          <w:rFonts w:ascii="Times New Roman" w:hAnsi="Times New Roman" w:cs="Times New Roman"/>
          <w:sz w:val="28"/>
          <w:szCs w:val="28"/>
        </w:rPr>
        <w:t xml:space="preserve">Kendi bünyelerinde kurmuş oldukları iktisadi işletme, mevzuatın getirdiği hükme uygun değildir. </w:t>
      </w:r>
      <w:r w:rsidRPr="00951C57">
        <w:rPr>
          <w:rFonts w:ascii="Times New Roman" w:hAnsi="Times New Roman" w:cs="Times New Roman"/>
          <w:sz w:val="28"/>
          <w:szCs w:val="28"/>
        </w:rPr>
        <w:t xml:space="preserve">Kurulacak olan </w:t>
      </w:r>
      <w:r w:rsidR="00631110" w:rsidRPr="00951C57">
        <w:rPr>
          <w:rFonts w:ascii="Times New Roman" w:hAnsi="Times New Roman" w:cs="Times New Roman"/>
          <w:sz w:val="28"/>
          <w:szCs w:val="28"/>
        </w:rPr>
        <w:t>acentede</w:t>
      </w:r>
      <w:r w:rsidRPr="00951C57">
        <w:rPr>
          <w:rFonts w:ascii="Times New Roman" w:hAnsi="Times New Roman" w:cs="Times New Roman"/>
          <w:sz w:val="28"/>
          <w:szCs w:val="28"/>
        </w:rPr>
        <w:t xml:space="preserve">, Yönetmeliğin 5 inci maddesinde belirtilen </w:t>
      </w:r>
      <w:r w:rsidR="009F6401" w:rsidRPr="00951C57">
        <w:rPr>
          <w:rFonts w:ascii="Times New Roman" w:hAnsi="Times New Roman" w:cs="Times New Roman"/>
          <w:sz w:val="28"/>
          <w:szCs w:val="28"/>
        </w:rPr>
        <w:t>şartlar</w:t>
      </w:r>
      <w:r w:rsidRPr="00951C57">
        <w:rPr>
          <w:rFonts w:ascii="Times New Roman" w:hAnsi="Times New Roman" w:cs="Times New Roman"/>
          <w:sz w:val="28"/>
          <w:szCs w:val="28"/>
        </w:rPr>
        <w:t xml:space="preserve"> aranacaktır. </w:t>
      </w:r>
    </w:p>
    <w:p w:rsidR="001A278D" w:rsidRPr="00951C57" w:rsidRDefault="001A278D"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 xml:space="preserve">Durumu yukarıda bahsedilen hükme uygun olmayanların Yönetmeliğin Geçici 1 </w:t>
      </w:r>
      <w:r w:rsidR="00607301" w:rsidRPr="00951C57">
        <w:rPr>
          <w:rFonts w:ascii="Times New Roman" w:hAnsi="Times New Roman" w:cs="Times New Roman"/>
          <w:sz w:val="28"/>
          <w:szCs w:val="28"/>
        </w:rPr>
        <w:t>i</w:t>
      </w:r>
      <w:r w:rsidRPr="00951C57">
        <w:rPr>
          <w:rFonts w:ascii="Times New Roman" w:hAnsi="Times New Roman" w:cs="Times New Roman"/>
          <w:sz w:val="28"/>
          <w:szCs w:val="28"/>
        </w:rPr>
        <w:t xml:space="preserve">nci maddesi uyarınca en geç 22.10.2014 tarihine kadar durumlarını Yönetmeliğe uygun hale getirmeleri gerekmektedir. </w:t>
      </w:r>
    </w:p>
    <w:p w:rsidR="00626EC7" w:rsidRPr="00951C57" w:rsidRDefault="00626EC7" w:rsidP="001A278D">
      <w:pPr>
        <w:pStyle w:val="ListeParagraf"/>
        <w:tabs>
          <w:tab w:val="left" w:pos="851"/>
          <w:tab w:val="left" w:pos="993"/>
        </w:tabs>
        <w:spacing w:after="0" w:line="240" w:lineRule="auto"/>
        <w:ind w:left="567"/>
        <w:jc w:val="both"/>
        <w:rPr>
          <w:rFonts w:ascii="Times New Roman" w:hAnsi="Times New Roman" w:cs="Times New Roman"/>
          <w:sz w:val="28"/>
          <w:szCs w:val="28"/>
        </w:rPr>
      </w:pPr>
    </w:p>
    <w:p w:rsidR="00395E32" w:rsidRPr="00951C57" w:rsidRDefault="0071212C" w:rsidP="00F30891">
      <w:pPr>
        <w:pStyle w:val="ListeParagraf"/>
        <w:numPr>
          <w:ilvl w:val="0"/>
          <w:numId w:val="15"/>
        </w:numPr>
        <w:tabs>
          <w:tab w:val="left" w:pos="851"/>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t>Öğrenim düzeyi ve asgari mesleki deneyim sürelerine (</w:t>
      </w:r>
      <w:r w:rsidR="00956FDF" w:rsidRPr="00951C57">
        <w:rPr>
          <w:rFonts w:ascii="Times New Roman" w:hAnsi="Times New Roman" w:cs="Times New Roman"/>
          <w:b/>
          <w:sz w:val="28"/>
          <w:szCs w:val="28"/>
        </w:rPr>
        <w:t>Ek:</w:t>
      </w:r>
      <w:r w:rsidR="009045E1" w:rsidRPr="00951C57">
        <w:rPr>
          <w:rFonts w:ascii="Times New Roman" w:hAnsi="Times New Roman" w:cs="Times New Roman"/>
          <w:b/>
          <w:sz w:val="28"/>
          <w:szCs w:val="28"/>
        </w:rPr>
        <w:t>1</w:t>
      </w:r>
      <w:r w:rsidRPr="00951C57">
        <w:rPr>
          <w:rFonts w:ascii="Times New Roman" w:hAnsi="Times New Roman" w:cs="Times New Roman"/>
          <w:b/>
          <w:sz w:val="28"/>
          <w:szCs w:val="28"/>
        </w:rPr>
        <w:t>)</w:t>
      </w:r>
      <w:r w:rsidR="006719EE" w:rsidRPr="00951C57">
        <w:rPr>
          <w:rFonts w:ascii="Times New Roman" w:hAnsi="Times New Roman" w:cs="Times New Roman"/>
          <w:b/>
          <w:sz w:val="28"/>
          <w:szCs w:val="28"/>
        </w:rPr>
        <w:t xml:space="preserve"> ilişkin açıklamalar</w:t>
      </w:r>
    </w:p>
    <w:p w:rsidR="006719EE" w:rsidRPr="00951C57" w:rsidRDefault="006719EE" w:rsidP="00991C58">
      <w:pPr>
        <w:spacing w:after="0" w:line="240" w:lineRule="auto"/>
        <w:jc w:val="both"/>
        <w:rPr>
          <w:rFonts w:ascii="Times New Roman" w:hAnsi="Times New Roman" w:cs="Times New Roman"/>
          <w:b/>
          <w:sz w:val="28"/>
          <w:szCs w:val="28"/>
        </w:rPr>
      </w:pPr>
    </w:p>
    <w:p w:rsidR="00146B27" w:rsidRPr="00951C57" w:rsidRDefault="00970827" w:rsidP="00B00B86">
      <w:pPr>
        <w:pStyle w:val="ListeParagraf"/>
        <w:numPr>
          <w:ilvl w:val="1"/>
          <w:numId w:val="15"/>
        </w:numPr>
        <w:tabs>
          <w:tab w:val="left" w:pos="709"/>
          <w:tab w:val="left" w:pos="851"/>
          <w:tab w:val="left" w:pos="993"/>
        </w:tabs>
        <w:spacing w:after="0" w:line="240" w:lineRule="auto"/>
        <w:ind w:left="0" w:firstLine="567"/>
        <w:jc w:val="both"/>
        <w:rPr>
          <w:rFonts w:ascii="Times New Roman" w:hAnsi="Times New Roman" w:cs="Times New Roman"/>
          <w:b/>
          <w:sz w:val="28"/>
          <w:szCs w:val="28"/>
        </w:rPr>
      </w:pPr>
      <w:r w:rsidRPr="00951C57">
        <w:rPr>
          <w:rFonts w:ascii="Times New Roman" w:eastAsia="Times New Roman" w:hAnsi="Times New Roman" w:cs="Times New Roman"/>
          <w:sz w:val="28"/>
          <w:szCs w:val="28"/>
          <w:lang w:eastAsia="tr-TR"/>
        </w:rPr>
        <w:t>Sigorta acentelerinde</w:t>
      </w:r>
      <w:r w:rsidR="008177E8" w:rsidRPr="00951C57">
        <w:rPr>
          <w:rFonts w:ascii="Times New Roman" w:eastAsia="Times New Roman" w:hAnsi="Times New Roman" w:cs="Times New Roman"/>
          <w:sz w:val="28"/>
          <w:szCs w:val="28"/>
          <w:lang w:eastAsia="tr-TR"/>
        </w:rPr>
        <w:t xml:space="preserve"> geçirilen </w:t>
      </w:r>
      <w:r w:rsidRPr="00951C57">
        <w:rPr>
          <w:rFonts w:ascii="Times New Roman" w:eastAsia="Times New Roman" w:hAnsi="Times New Roman" w:cs="Times New Roman"/>
          <w:sz w:val="28"/>
          <w:szCs w:val="28"/>
          <w:lang w:eastAsia="tr-TR"/>
        </w:rPr>
        <w:t>m</w:t>
      </w:r>
      <w:r w:rsidR="00B15B4B" w:rsidRPr="00951C57">
        <w:rPr>
          <w:rFonts w:ascii="Times New Roman" w:eastAsia="Times New Roman" w:hAnsi="Times New Roman" w:cs="Times New Roman"/>
          <w:sz w:val="28"/>
          <w:szCs w:val="28"/>
          <w:lang w:eastAsia="tr-TR"/>
        </w:rPr>
        <w:t xml:space="preserve">esleki deneyime ilişkin sürelerin hesabında </w:t>
      </w:r>
      <w:r w:rsidR="00E626E6" w:rsidRPr="00951C57">
        <w:rPr>
          <w:rFonts w:ascii="Times New Roman" w:eastAsia="Times New Roman" w:hAnsi="Times New Roman" w:cs="Times New Roman"/>
          <w:sz w:val="28"/>
          <w:szCs w:val="28"/>
          <w:lang w:eastAsia="tr-TR"/>
        </w:rPr>
        <w:t>S</w:t>
      </w:r>
      <w:r w:rsidR="00BA7A1B" w:rsidRPr="00951C57">
        <w:rPr>
          <w:rFonts w:ascii="Times New Roman" w:eastAsia="Times New Roman" w:hAnsi="Times New Roman" w:cs="Times New Roman"/>
          <w:sz w:val="28"/>
          <w:szCs w:val="28"/>
          <w:lang w:eastAsia="tr-TR"/>
        </w:rPr>
        <w:t>igorta Acenteleri İcra Komitesi</w:t>
      </w:r>
      <w:r w:rsidR="00E626E6" w:rsidRPr="00951C57">
        <w:rPr>
          <w:rFonts w:ascii="Times New Roman" w:eastAsia="Times New Roman" w:hAnsi="Times New Roman" w:cs="Times New Roman"/>
          <w:sz w:val="28"/>
          <w:szCs w:val="28"/>
          <w:lang w:eastAsia="tr-TR"/>
        </w:rPr>
        <w:t xml:space="preserve"> tarafından belirlenen </w:t>
      </w:r>
      <w:r w:rsidR="00272CAF" w:rsidRPr="00951C57">
        <w:rPr>
          <w:rFonts w:ascii="Times New Roman" w:eastAsia="Times New Roman" w:hAnsi="Times New Roman" w:cs="Times New Roman"/>
          <w:sz w:val="28"/>
          <w:szCs w:val="28"/>
          <w:lang w:eastAsia="tr-TR"/>
        </w:rPr>
        <w:t xml:space="preserve">belgeler </w:t>
      </w:r>
      <w:r w:rsidR="00655785" w:rsidRPr="00951C57">
        <w:rPr>
          <w:rFonts w:ascii="Times New Roman" w:eastAsia="Times New Roman" w:hAnsi="Times New Roman" w:cs="Times New Roman"/>
          <w:sz w:val="28"/>
          <w:szCs w:val="28"/>
          <w:lang w:eastAsia="tr-TR"/>
        </w:rPr>
        <w:t>esas alınır.</w:t>
      </w:r>
      <w:r w:rsidR="00991C58" w:rsidRPr="00951C57">
        <w:rPr>
          <w:rFonts w:ascii="Times New Roman" w:eastAsia="Times New Roman" w:hAnsi="Times New Roman" w:cs="Times New Roman"/>
          <w:sz w:val="28"/>
          <w:szCs w:val="28"/>
          <w:lang w:eastAsia="tr-TR"/>
        </w:rPr>
        <w:t xml:space="preserve"> </w:t>
      </w:r>
    </w:p>
    <w:p w:rsidR="00BD52AF" w:rsidRPr="00951C57" w:rsidRDefault="00BD52AF"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8"/>
          <w:szCs w:val="28"/>
        </w:rPr>
      </w:pPr>
      <w:r w:rsidRPr="00951C57">
        <w:rPr>
          <w:rFonts w:ascii="Times New Roman" w:eastAsia="Times New Roman" w:hAnsi="Times New Roman" w:cs="Times New Roman"/>
          <w:noProof/>
          <w:sz w:val="28"/>
          <w:szCs w:val="28"/>
          <w:lang w:eastAsia="tr-TR"/>
        </w:rPr>
        <w:t>Kanunun 23 üncü maddesinin üçüncü fıkrası uyarınca acentelik faaliyeti yapacak olan bankalar, özel kanunla kurulmuş ve kendisine sigorta acenteliği yapma yetkisi tanınan kurumlar ile 6361 sayılı Finansal Kiralama, Faktoring ve Finansman Şirketleri Kanunu uyarınca sigorta acenteliği yapma yetkisi tanınan finansal kiralama ve finansman şirketleri için mesleki deneyim süresinin hesabında teknik personel eğitimi sertifikasının alındığı/teknik personel yeterlilik sınavının kazanıldığı tarih esas alınacaktır. Bunun yanı sıra, bu deneyim sürelerinin tevsik edilmesi için mesleki deneyim süresinin geçirildiği kurum/kuruluşlardan alınacak görev tanımını (unvan, yetki ve sorumlulukları) gösteren ayrıntılı bilgi ve belgeler ile gerektiğinde TOBB tarafından istenilen bilgi ve belgeler aranacaktır.</w:t>
      </w:r>
    </w:p>
    <w:p w:rsidR="004F64DF" w:rsidRPr="00951C57" w:rsidRDefault="00970827"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8"/>
          <w:szCs w:val="28"/>
        </w:rPr>
      </w:pPr>
      <w:r w:rsidRPr="00951C57">
        <w:rPr>
          <w:rFonts w:ascii="Times New Roman" w:eastAsia="Times New Roman" w:hAnsi="Times New Roman" w:cs="Times New Roman"/>
          <w:sz w:val="28"/>
          <w:szCs w:val="28"/>
          <w:lang w:eastAsia="tr-TR"/>
        </w:rPr>
        <w:t xml:space="preserve">Bunun dışında kalan sigortacılıkla ilgili kurum veya kuruluşlardaki mesleki deneyim sürelerinin tevsik edilmesi için </w:t>
      </w:r>
      <w:r w:rsidR="004F2A1B" w:rsidRPr="00951C57">
        <w:rPr>
          <w:rFonts w:ascii="Times New Roman" w:eastAsia="Times New Roman" w:hAnsi="Times New Roman" w:cs="Times New Roman"/>
          <w:sz w:val="28"/>
          <w:szCs w:val="28"/>
          <w:lang w:eastAsia="tr-TR"/>
        </w:rPr>
        <w:t xml:space="preserve">mesleki deneyim süresinin geçirildiği </w:t>
      </w:r>
      <w:r w:rsidRPr="00951C57">
        <w:rPr>
          <w:rFonts w:ascii="Times New Roman" w:eastAsia="Times New Roman" w:hAnsi="Times New Roman" w:cs="Times New Roman"/>
          <w:sz w:val="28"/>
          <w:szCs w:val="28"/>
          <w:lang w:eastAsia="tr-TR"/>
        </w:rPr>
        <w:t xml:space="preserve">kurum/kuruluşlardan </w:t>
      </w:r>
      <w:r w:rsidR="009379DF" w:rsidRPr="00951C57">
        <w:rPr>
          <w:rFonts w:ascii="Times New Roman" w:eastAsia="Times New Roman" w:hAnsi="Times New Roman" w:cs="Times New Roman"/>
          <w:sz w:val="28"/>
          <w:szCs w:val="28"/>
          <w:lang w:eastAsia="tr-TR"/>
        </w:rPr>
        <w:t xml:space="preserve">alınacak </w:t>
      </w:r>
      <w:r w:rsidR="004F2A1B" w:rsidRPr="00951C57">
        <w:rPr>
          <w:rFonts w:ascii="Times New Roman" w:eastAsia="Times New Roman" w:hAnsi="Times New Roman" w:cs="Times New Roman"/>
          <w:sz w:val="28"/>
          <w:szCs w:val="28"/>
          <w:lang w:eastAsia="tr-TR"/>
        </w:rPr>
        <w:t xml:space="preserve">görev tanımını (unvan, yetki ve sorumlulukları) gösteren ayrıntılı bilgi ve belgeler </w:t>
      </w:r>
      <w:r w:rsidR="009379DF" w:rsidRPr="00951C57">
        <w:rPr>
          <w:rFonts w:ascii="Times New Roman" w:eastAsia="Times New Roman" w:hAnsi="Times New Roman" w:cs="Times New Roman"/>
          <w:sz w:val="28"/>
          <w:szCs w:val="28"/>
          <w:lang w:eastAsia="tr-TR"/>
        </w:rPr>
        <w:t xml:space="preserve">ile gerektiğinde </w:t>
      </w:r>
      <w:r w:rsidR="00213BE2" w:rsidRPr="00951C57">
        <w:rPr>
          <w:rFonts w:ascii="Times New Roman" w:eastAsia="Times New Roman" w:hAnsi="Times New Roman" w:cs="Times New Roman"/>
          <w:sz w:val="28"/>
          <w:szCs w:val="28"/>
          <w:lang w:eastAsia="tr-TR"/>
        </w:rPr>
        <w:t>TOBB</w:t>
      </w:r>
      <w:r w:rsidR="009379DF" w:rsidRPr="00951C57">
        <w:rPr>
          <w:rFonts w:ascii="Times New Roman" w:eastAsia="Times New Roman" w:hAnsi="Times New Roman" w:cs="Times New Roman"/>
          <w:sz w:val="28"/>
          <w:szCs w:val="28"/>
          <w:lang w:eastAsia="tr-TR"/>
        </w:rPr>
        <w:t xml:space="preserve"> tarafından istenilen bilgi ve belgeler aran</w:t>
      </w:r>
      <w:r w:rsidR="00CD4C62" w:rsidRPr="00951C57">
        <w:rPr>
          <w:rFonts w:ascii="Times New Roman" w:eastAsia="Times New Roman" w:hAnsi="Times New Roman" w:cs="Times New Roman"/>
          <w:sz w:val="28"/>
          <w:szCs w:val="28"/>
          <w:lang w:eastAsia="tr-TR"/>
        </w:rPr>
        <w:t>acaktır</w:t>
      </w:r>
      <w:r w:rsidR="009379DF" w:rsidRPr="00951C57">
        <w:rPr>
          <w:rFonts w:ascii="Times New Roman" w:eastAsia="Times New Roman" w:hAnsi="Times New Roman" w:cs="Times New Roman"/>
          <w:sz w:val="28"/>
          <w:szCs w:val="28"/>
          <w:lang w:eastAsia="tr-TR"/>
        </w:rPr>
        <w:t xml:space="preserve">. </w:t>
      </w:r>
      <w:r w:rsidR="009369A6" w:rsidRPr="00951C57">
        <w:rPr>
          <w:rFonts w:ascii="Times New Roman" w:eastAsia="Times New Roman" w:hAnsi="Times New Roman" w:cs="Times New Roman"/>
          <w:sz w:val="28"/>
          <w:szCs w:val="28"/>
          <w:lang w:eastAsia="tr-TR"/>
        </w:rPr>
        <w:t>Sigortacılıkla ilgili kurum veya kuruluşların mes</w:t>
      </w:r>
      <w:r w:rsidR="004C62CB" w:rsidRPr="00951C57">
        <w:rPr>
          <w:rFonts w:ascii="Times New Roman" w:eastAsia="Times New Roman" w:hAnsi="Times New Roman" w:cs="Times New Roman"/>
          <w:sz w:val="28"/>
          <w:szCs w:val="28"/>
          <w:lang w:eastAsia="tr-TR"/>
        </w:rPr>
        <w:t>lekle ilgili bölümleri;</w:t>
      </w:r>
      <w:r w:rsidR="00F50B0D" w:rsidRPr="00951C57">
        <w:rPr>
          <w:rFonts w:ascii="Times New Roman" w:eastAsia="Times New Roman" w:hAnsi="Times New Roman" w:cs="Times New Roman"/>
          <w:sz w:val="28"/>
          <w:szCs w:val="28"/>
          <w:lang w:eastAsia="tr-TR"/>
        </w:rPr>
        <w:t xml:space="preserve"> yangın, mühendislik,</w:t>
      </w:r>
      <w:r w:rsidR="009369A6" w:rsidRPr="00951C57">
        <w:rPr>
          <w:rFonts w:ascii="Times New Roman" w:eastAsia="Times New Roman" w:hAnsi="Times New Roman" w:cs="Times New Roman"/>
          <w:sz w:val="28"/>
          <w:szCs w:val="28"/>
          <w:lang w:eastAsia="tr-TR"/>
        </w:rPr>
        <w:t xml:space="preserve"> </w:t>
      </w:r>
      <w:proofErr w:type="gramStart"/>
      <w:r w:rsidR="009369A6" w:rsidRPr="00951C57">
        <w:rPr>
          <w:rFonts w:ascii="Times New Roman" w:eastAsia="Times New Roman" w:hAnsi="Times New Roman" w:cs="Times New Roman"/>
          <w:sz w:val="28"/>
          <w:szCs w:val="28"/>
          <w:lang w:eastAsia="tr-TR"/>
        </w:rPr>
        <w:t>reasürans</w:t>
      </w:r>
      <w:proofErr w:type="gramEnd"/>
      <w:r w:rsidR="009369A6" w:rsidRPr="00951C57">
        <w:rPr>
          <w:rFonts w:ascii="Times New Roman" w:eastAsia="Times New Roman" w:hAnsi="Times New Roman" w:cs="Times New Roman"/>
          <w:sz w:val="28"/>
          <w:szCs w:val="28"/>
          <w:lang w:eastAsia="tr-TR"/>
        </w:rPr>
        <w:t xml:space="preserve"> gibi teknik birimlerdir. İdari ve mali </w:t>
      </w:r>
      <w:r w:rsidR="0026311F" w:rsidRPr="00951C57">
        <w:rPr>
          <w:rFonts w:ascii="Times New Roman" w:eastAsia="Times New Roman" w:hAnsi="Times New Roman" w:cs="Times New Roman"/>
          <w:sz w:val="28"/>
          <w:szCs w:val="28"/>
          <w:lang w:eastAsia="tr-TR"/>
        </w:rPr>
        <w:t xml:space="preserve">işlerle ilgili </w:t>
      </w:r>
      <w:r w:rsidR="009369A6" w:rsidRPr="00951C57">
        <w:rPr>
          <w:rFonts w:ascii="Times New Roman" w:eastAsia="Times New Roman" w:hAnsi="Times New Roman" w:cs="Times New Roman"/>
          <w:sz w:val="28"/>
          <w:szCs w:val="28"/>
          <w:lang w:eastAsia="tr-TR"/>
        </w:rPr>
        <w:t>birimler bu kapsamda değerlendirilmez.</w:t>
      </w:r>
    </w:p>
    <w:p w:rsidR="004F64DF" w:rsidRPr="00951C57" w:rsidRDefault="00912368"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lastRenderedPageBreak/>
        <w:t>Bireysel emeklilik mevzuatı çerçevesinde aracılık yapma yetkisine sahip kişiler, SEGEM tarafından yapılacak tekn</w:t>
      </w:r>
      <w:r w:rsidR="00FA43C1" w:rsidRPr="00951C57">
        <w:rPr>
          <w:rFonts w:ascii="Times New Roman" w:hAnsi="Times New Roman" w:cs="Times New Roman"/>
          <w:sz w:val="28"/>
          <w:szCs w:val="28"/>
        </w:rPr>
        <w:t>ik personel yeterlilik sınavını</w:t>
      </w:r>
      <w:r w:rsidRPr="00951C57">
        <w:rPr>
          <w:rFonts w:ascii="Times New Roman" w:hAnsi="Times New Roman" w:cs="Times New Roman"/>
          <w:sz w:val="28"/>
          <w:szCs w:val="28"/>
        </w:rPr>
        <w:t xml:space="preserve"> kazanmaları halinde teknik personel olarak kabul edilir. Gerçek kişi sigorta acentesi veya tüzel kişi sigorta acentesi müdür</w:t>
      </w:r>
      <w:r w:rsidR="00091E8B" w:rsidRPr="00951C57">
        <w:rPr>
          <w:rFonts w:ascii="Times New Roman" w:hAnsi="Times New Roman" w:cs="Times New Roman"/>
          <w:sz w:val="28"/>
          <w:szCs w:val="28"/>
        </w:rPr>
        <w:t>ü olmak</w:t>
      </w:r>
      <w:r w:rsidRPr="00951C57">
        <w:rPr>
          <w:rFonts w:ascii="Times New Roman" w:hAnsi="Times New Roman" w:cs="Times New Roman"/>
          <w:sz w:val="28"/>
          <w:szCs w:val="28"/>
        </w:rPr>
        <w:t xml:space="preserve"> için gereken asgari mesleki deneyim süresin</w:t>
      </w:r>
      <w:r w:rsidR="00B05D03" w:rsidRPr="00951C57">
        <w:rPr>
          <w:rFonts w:ascii="Times New Roman" w:hAnsi="Times New Roman" w:cs="Times New Roman"/>
          <w:sz w:val="28"/>
          <w:szCs w:val="28"/>
        </w:rPr>
        <w:t xml:space="preserve">in hesabında, </w:t>
      </w:r>
      <w:r w:rsidR="00A45256" w:rsidRPr="00951C57">
        <w:rPr>
          <w:rFonts w:ascii="Times New Roman" w:hAnsi="Times New Roman" w:cs="Times New Roman"/>
          <w:sz w:val="28"/>
          <w:szCs w:val="28"/>
        </w:rPr>
        <w:t>bireysel emeklilik aracıl</w:t>
      </w:r>
      <w:r w:rsidR="00CD4C62" w:rsidRPr="00951C57">
        <w:rPr>
          <w:rFonts w:ascii="Times New Roman" w:hAnsi="Times New Roman" w:cs="Times New Roman"/>
          <w:sz w:val="28"/>
          <w:szCs w:val="28"/>
        </w:rPr>
        <w:t xml:space="preserve">ığında geçirilen süreler de </w:t>
      </w:r>
      <w:r w:rsidR="00B05D03" w:rsidRPr="00951C57">
        <w:rPr>
          <w:rFonts w:ascii="Times New Roman" w:hAnsi="Times New Roman" w:cs="Times New Roman"/>
          <w:sz w:val="28"/>
          <w:szCs w:val="28"/>
        </w:rPr>
        <w:t xml:space="preserve">dikkate alınır. </w:t>
      </w:r>
      <w:r w:rsidR="00CD4C62" w:rsidRPr="00951C57">
        <w:rPr>
          <w:rFonts w:ascii="Times New Roman" w:hAnsi="Times New Roman" w:cs="Times New Roman"/>
          <w:sz w:val="28"/>
          <w:szCs w:val="28"/>
        </w:rPr>
        <w:t xml:space="preserve"> </w:t>
      </w:r>
    </w:p>
    <w:p w:rsidR="00146B27" w:rsidRPr="00951C57" w:rsidRDefault="00DA6464"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Sigortacılıkla ilgili bölümler</w:t>
      </w:r>
      <w:r w:rsidR="00CA4EE2" w:rsidRPr="00951C57">
        <w:rPr>
          <w:rFonts w:ascii="Times New Roman" w:hAnsi="Times New Roman" w:cs="Times New Roman"/>
          <w:sz w:val="28"/>
          <w:szCs w:val="28"/>
        </w:rPr>
        <w:t>;</w:t>
      </w:r>
      <w:r w:rsidR="0053343F" w:rsidRPr="00951C57">
        <w:rPr>
          <w:rFonts w:ascii="Times New Roman" w:hAnsi="Times New Roman" w:cs="Times New Roman"/>
          <w:sz w:val="28"/>
          <w:szCs w:val="28"/>
        </w:rPr>
        <w:t xml:space="preserve"> sigortacılık, bankacılık ve sigorta</w:t>
      </w:r>
      <w:r w:rsidR="00B05D03" w:rsidRPr="00951C57">
        <w:rPr>
          <w:rFonts w:ascii="Times New Roman" w:hAnsi="Times New Roman" w:cs="Times New Roman"/>
          <w:sz w:val="28"/>
          <w:szCs w:val="28"/>
        </w:rPr>
        <w:t>cılık, risk yönetimi ve</w:t>
      </w:r>
      <w:r w:rsidR="00CA4EE2" w:rsidRPr="00951C57">
        <w:rPr>
          <w:rFonts w:ascii="Times New Roman" w:hAnsi="Times New Roman" w:cs="Times New Roman"/>
          <w:sz w:val="28"/>
          <w:szCs w:val="28"/>
        </w:rPr>
        <w:t xml:space="preserve"> </w:t>
      </w:r>
      <w:proofErr w:type="spellStart"/>
      <w:r w:rsidR="00CA4EE2" w:rsidRPr="00951C57">
        <w:rPr>
          <w:rFonts w:ascii="Times New Roman" w:hAnsi="Times New Roman" w:cs="Times New Roman"/>
          <w:sz w:val="28"/>
          <w:szCs w:val="28"/>
        </w:rPr>
        <w:t>aktüerya</w:t>
      </w:r>
      <w:proofErr w:type="spellEnd"/>
      <w:r w:rsidR="00CA4EE2" w:rsidRPr="00951C57">
        <w:rPr>
          <w:rFonts w:ascii="Times New Roman" w:hAnsi="Times New Roman" w:cs="Times New Roman"/>
          <w:sz w:val="28"/>
          <w:szCs w:val="28"/>
        </w:rPr>
        <w:t xml:space="preserve"> bölümleridir. Bahse</w:t>
      </w:r>
      <w:r w:rsidR="009F213F" w:rsidRPr="00951C57">
        <w:rPr>
          <w:rFonts w:ascii="Times New Roman" w:hAnsi="Times New Roman" w:cs="Times New Roman"/>
          <w:sz w:val="28"/>
          <w:szCs w:val="28"/>
        </w:rPr>
        <w:t xml:space="preserve">dilen bölümler dışında </w:t>
      </w:r>
      <w:r w:rsidR="007A40F0" w:rsidRPr="00951C57">
        <w:rPr>
          <w:rFonts w:ascii="Times New Roman" w:hAnsi="Times New Roman" w:cs="Times New Roman"/>
          <w:sz w:val="28"/>
          <w:szCs w:val="28"/>
        </w:rPr>
        <w:t>ka</w:t>
      </w:r>
      <w:r w:rsidR="009F213F" w:rsidRPr="00951C57">
        <w:rPr>
          <w:rFonts w:ascii="Times New Roman" w:hAnsi="Times New Roman" w:cs="Times New Roman"/>
          <w:sz w:val="28"/>
          <w:szCs w:val="28"/>
        </w:rPr>
        <w:t xml:space="preserve">lan </w:t>
      </w:r>
      <w:r w:rsidR="00CA5563" w:rsidRPr="00951C57">
        <w:rPr>
          <w:rFonts w:ascii="Times New Roman" w:hAnsi="Times New Roman" w:cs="Times New Roman"/>
          <w:sz w:val="28"/>
          <w:szCs w:val="28"/>
        </w:rPr>
        <w:t xml:space="preserve">ve </w:t>
      </w:r>
      <w:r w:rsidR="00E15B88" w:rsidRPr="00951C57">
        <w:rPr>
          <w:rFonts w:ascii="Times New Roman" w:hAnsi="Times New Roman" w:cs="Times New Roman"/>
          <w:sz w:val="28"/>
          <w:szCs w:val="28"/>
        </w:rPr>
        <w:t>Yükseköğretim Kurul</w:t>
      </w:r>
      <w:r w:rsidRPr="00951C57">
        <w:rPr>
          <w:rFonts w:ascii="Times New Roman" w:hAnsi="Times New Roman" w:cs="Times New Roman"/>
          <w:sz w:val="28"/>
          <w:szCs w:val="28"/>
        </w:rPr>
        <w:t>u</w:t>
      </w:r>
      <w:r w:rsidR="009F213F" w:rsidRPr="00951C57">
        <w:rPr>
          <w:rFonts w:ascii="Times New Roman" w:hAnsi="Times New Roman" w:cs="Times New Roman"/>
          <w:sz w:val="28"/>
          <w:szCs w:val="28"/>
        </w:rPr>
        <w:t xml:space="preserve"> Başkanlığı tarafından sigortacılık bölümüne </w:t>
      </w:r>
      <w:r w:rsidR="00040178" w:rsidRPr="00951C57">
        <w:rPr>
          <w:rFonts w:ascii="Times New Roman" w:hAnsi="Times New Roman" w:cs="Times New Roman"/>
          <w:sz w:val="28"/>
          <w:szCs w:val="28"/>
        </w:rPr>
        <w:t>eşdeğer/denk görülen</w:t>
      </w:r>
      <w:r w:rsidR="007A40F0" w:rsidRPr="00951C57">
        <w:rPr>
          <w:rFonts w:ascii="Times New Roman" w:hAnsi="Times New Roman" w:cs="Times New Roman"/>
          <w:sz w:val="28"/>
          <w:szCs w:val="28"/>
        </w:rPr>
        <w:t xml:space="preserve"> bölümler</w:t>
      </w:r>
      <w:r w:rsidR="009F213F" w:rsidRPr="00951C57">
        <w:rPr>
          <w:rFonts w:ascii="Times New Roman" w:hAnsi="Times New Roman" w:cs="Times New Roman"/>
          <w:sz w:val="28"/>
          <w:szCs w:val="28"/>
        </w:rPr>
        <w:t xml:space="preserve"> de</w:t>
      </w:r>
      <w:r w:rsidR="00CA4EE2" w:rsidRPr="00951C57">
        <w:rPr>
          <w:rFonts w:ascii="Times New Roman" w:hAnsi="Times New Roman" w:cs="Times New Roman"/>
          <w:sz w:val="28"/>
          <w:szCs w:val="28"/>
        </w:rPr>
        <w:t xml:space="preserve"> </w:t>
      </w:r>
      <w:r w:rsidR="009F213F" w:rsidRPr="00951C57">
        <w:rPr>
          <w:rFonts w:ascii="Times New Roman" w:hAnsi="Times New Roman" w:cs="Times New Roman"/>
          <w:sz w:val="28"/>
          <w:szCs w:val="28"/>
        </w:rPr>
        <w:t>bu kapsamda değerlendiri</w:t>
      </w:r>
      <w:r w:rsidR="007A40F0" w:rsidRPr="00951C57">
        <w:rPr>
          <w:rFonts w:ascii="Times New Roman" w:hAnsi="Times New Roman" w:cs="Times New Roman"/>
          <w:sz w:val="28"/>
          <w:szCs w:val="28"/>
        </w:rPr>
        <w:t>lir.</w:t>
      </w:r>
      <w:r w:rsidR="001E2EDC" w:rsidRPr="00951C57">
        <w:rPr>
          <w:rFonts w:ascii="Times New Roman" w:hAnsi="Times New Roman" w:cs="Times New Roman"/>
          <w:sz w:val="28"/>
          <w:szCs w:val="28"/>
        </w:rPr>
        <w:t xml:space="preserve"> Yurtdışında</w:t>
      </w:r>
      <w:r w:rsidR="004019A3" w:rsidRPr="00951C57">
        <w:rPr>
          <w:rFonts w:ascii="Times New Roman" w:hAnsi="Times New Roman" w:cs="Times New Roman"/>
          <w:sz w:val="28"/>
          <w:szCs w:val="28"/>
        </w:rPr>
        <w:t xml:space="preserve">ki </w:t>
      </w:r>
      <w:r w:rsidR="009C3332" w:rsidRPr="00951C57">
        <w:rPr>
          <w:rFonts w:ascii="Times New Roman" w:hAnsi="Times New Roman" w:cs="Times New Roman"/>
          <w:sz w:val="28"/>
          <w:szCs w:val="28"/>
        </w:rPr>
        <w:t>öğrenim düzeylerinin</w:t>
      </w:r>
      <w:r w:rsidR="004019A3" w:rsidRPr="00951C57">
        <w:rPr>
          <w:rFonts w:ascii="Times New Roman" w:hAnsi="Times New Roman" w:cs="Times New Roman"/>
          <w:sz w:val="28"/>
          <w:szCs w:val="28"/>
        </w:rPr>
        <w:t xml:space="preserve"> </w:t>
      </w:r>
      <w:r w:rsidR="00B55C60" w:rsidRPr="00951C57">
        <w:rPr>
          <w:rFonts w:ascii="Times New Roman" w:hAnsi="Times New Roman" w:cs="Times New Roman"/>
          <w:sz w:val="28"/>
          <w:szCs w:val="28"/>
        </w:rPr>
        <w:t xml:space="preserve">de </w:t>
      </w:r>
      <w:r w:rsidR="004019A3" w:rsidRPr="00951C57">
        <w:rPr>
          <w:rFonts w:ascii="Times New Roman" w:hAnsi="Times New Roman" w:cs="Times New Roman"/>
          <w:sz w:val="28"/>
          <w:szCs w:val="28"/>
        </w:rPr>
        <w:t>Yükseköğretim Kurulu</w:t>
      </w:r>
      <w:r w:rsidR="00764186" w:rsidRPr="00951C57">
        <w:rPr>
          <w:rFonts w:ascii="Times New Roman" w:hAnsi="Times New Roman" w:cs="Times New Roman"/>
          <w:sz w:val="28"/>
          <w:szCs w:val="28"/>
        </w:rPr>
        <w:t xml:space="preserve"> Başkanlığından </w:t>
      </w:r>
      <w:r w:rsidR="00B55C60" w:rsidRPr="00951C57">
        <w:rPr>
          <w:rFonts w:ascii="Times New Roman" w:hAnsi="Times New Roman" w:cs="Times New Roman"/>
          <w:sz w:val="28"/>
          <w:szCs w:val="28"/>
        </w:rPr>
        <w:t xml:space="preserve">alınacak </w:t>
      </w:r>
      <w:r w:rsidR="004019A3" w:rsidRPr="00951C57">
        <w:rPr>
          <w:rFonts w:ascii="Times New Roman" w:hAnsi="Times New Roman" w:cs="Times New Roman"/>
          <w:sz w:val="28"/>
          <w:szCs w:val="28"/>
        </w:rPr>
        <w:t xml:space="preserve">denklik belgesi </w:t>
      </w:r>
      <w:r w:rsidR="00B55C60" w:rsidRPr="00951C57">
        <w:rPr>
          <w:rFonts w:ascii="Times New Roman" w:hAnsi="Times New Roman" w:cs="Times New Roman"/>
          <w:sz w:val="28"/>
          <w:szCs w:val="28"/>
        </w:rPr>
        <w:t>ile belgelendirilmesi gerekmektedir.</w:t>
      </w:r>
    </w:p>
    <w:p w:rsidR="00146B27" w:rsidRPr="00951C57" w:rsidRDefault="003358AE"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M</w:t>
      </w:r>
      <w:r w:rsidR="00CF3635" w:rsidRPr="00951C57">
        <w:rPr>
          <w:rFonts w:ascii="Times New Roman" w:hAnsi="Times New Roman" w:cs="Times New Roman"/>
          <w:sz w:val="28"/>
          <w:szCs w:val="28"/>
        </w:rPr>
        <w:t>üfredatında sigortacılıkla ilgili konulara yer verilen lise dengi mes</w:t>
      </w:r>
      <w:r w:rsidRPr="00951C57">
        <w:rPr>
          <w:rFonts w:ascii="Times New Roman" w:hAnsi="Times New Roman" w:cs="Times New Roman"/>
          <w:sz w:val="28"/>
          <w:szCs w:val="28"/>
        </w:rPr>
        <w:t>leki ve teknik eğitim okullar</w:t>
      </w:r>
      <w:r w:rsidR="00CA5563" w:rsidRPr="00951C57">
        <w:rPr>
          <w:rFonts w:ascii="Times New Roman" w:hAnsi="Times New Roman" w:cs="Times New Roman"/>
          <w:sz w:val="28"/>
          <w:szCs w:val="28"/>
        </w:rPr>
        <w:t>ı</w:t>
      </w:r>
      <w:r w:rsidRPr="00951C57">
        <w:rPr>
          <w:rFonts w:ascii="Times New Roman" w:hAnsi="Times New Roman" w:cs="Times New Roman"/>
          <w:sz w:val="28"/>
          <w:szCs w:val="28"/>
        </w:rPr>
        <w:t xml:space="preserve">, </w:t>
      </w:r>
      <w:r w:rsidR="00B85D11" w:rsidRPr="00951C57">
        <w:rPr>
          <w:rFonts w:ascii="Times New Roman" w:hAnsi="Times New Roman" w:cs="Times New Roman"/>
          <w:sz w:val="28"/>
          <w:szCs w:val="28"/>
        </w:rPr>
        <w:t xml:space="preserve">sigortacılık </w:t>
      </w:r>
      <w:proofErr w:type="gramStart"/>
      <w:r w:rsidR="00B85D11" w:rsidRPr="00951C57">
        <w:rPr>
          <w:rFonts w:ascii="Times New Roman" w:hAnsi="Times New Roman" w:cs="Times New Roman"/>
          <w:sz w:val="28"/>
          <w:szCs w:val="28"/>
        </w:rPr>
        <w:t>branş</w:t>
      </w:r>
      <w:proofErr w:type="gramEnd"/>
      <w:r w:rsidR="00B85D11" w:rsidRPr="00951C57">
        <w:rPr>
          <w:rFonts w:ascii="Times New Roman" w:hAnsi="Times New Roman" w:cs="Times New Roman"/>
          <w:sz w:val="28"/>
          <w:szCs w:val="28"/>
        </w:rPr>
        <w:t xml:space="preserve"> bölümleri olan </w:t>
      </w:r>
      <w:r w:rsidR="004F64DF" w:rsidRPr="00951C57">
        <w:rPr>
          <w:rFonts w:ascii="Times New Roman" w:hAnsi="Times New Roman" w:cs="Times New Roman"/>
          <w:sz w:val="28"/>
          <w:szCs w:val="28"/>
        </w:rPr>
        <w:t>okullardır</w:t>
      </w:r>
      <w:r w:rsidR="000B4F01" w:rsidRPr="00951C57">
        <w:rPr>
          <w:rFonts w:ascii="Times New Roman" w:hAnsi="Times New Roman" w:cs="Times New Roman"/>
          <w:sz w:val="28"/>
          <w:szCs w:val="28"/>
        </w:rPr>
        <w:t xml:space="preserve">. </w:t>
      </w:r>
    </w:p>
    <w:p w:rsidR="006C4C4F" w:rsidRPr="00951C57" w:rsidRDefault="00EA4FB1" w:rsidP="00B00B86">
      <w:pPr>
        <w:pStyle w:val="ListeParagraf"/>
        <w:numPr>
          <w:ilvl w:val="1"/>
          <w:numId w:val="15"/>
        </w:numP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 xml:space="preserve">Kamu istihdam programları kapsamında teknik personele ilişkin </w:t>
      </w:r>
      <w:r w:rsidR="00F24BBD" w:rsidRPr="00951C57">
        <w:rPr>
          <w:rFonts w:ascii="Times New Roman" w:hAnsi="Times New Roman" w:cs="Times New Roman"/>
          <w:sz w:val="28"/>
          <w:szCs w:val="28"/>
        </w:rPr>
        <w:t xml:space="preserve">mesleki deneyim süresinin </w:t>
      </w:r>
      <w:r w:rsidR="00A70477" w:rsidRPr="00951C57">
        <w:rPr>
          <w:rFonts w:ascii="Times New Roman" w:hAnsi="Times New Roman" w:cs="Times New Roman"/>
          <w:sz w:val="28"/>
          <w:szCs w:val="28"/>
        </w:rPr>
        <w:t>değerlendirilebilmesi için ilgili k</w:t>
      </w:r>
      <w:r w:rsidR="00F24BBD" w:rsidRPr="00951C57">
        <w:rPr>
          <w:rFonts w:ascii="Times New Roman" w:hAnsi="Times New Roman" w:cs="Times New Roman"/>
          <w:sz w:val="28"/>
          <w:szCs w:val="28"/>
        </w:rPr>
        <w:t>amu kurum</w:t>
      </w:r>
      <w:r w:rsidR="00A70477" w:rsidRPr="00951C57">
        <w:rPr>
          <w:rFonts w:ascii="Times New Roman" w:hAnsi="Times New Roman" w:cs="Times New Roman"/>
          <w:sz w:val="28"/>
          <w:szCs w:val="28"/>
        </w:rPr>
        <w:t xml:space="preserve"> ve kuruluşları</w:t>
      </w:r>
      <w:r w:rsidR="00F24BBD" w:rsidRPr="00951C57">
        <w:rPr>
          <w:rFonts w:ascii="Times New Roman" w:hAnsi="Times New Roman" w:cs="Times New Roman"/>
          <w:sz w:val="28"/>
          <w:szCs w:val="28"/>
        </w:rPr>
        <w:t xml:space="preserve"> tarafından yürütülen meslek edindirme faaliyetleri </w:t>
      </w:r>
      <w:r w:rsidR="00D92981" w:rsidRPr="00951C57">
        <w:rPr>
          <w:rFonts w:ascii="Times New Roman" w:hAnsi="Times New Roman" w:cs="Times New Roman"/>
          <w:sz w:val="28"/>
          <w:szCs w:val="28"/>
        </w:rPr>
        <w:t>kapsamında</w:t>
      </w:r>
      <w:r w:rsidR="00F24BBD" w:rsidRPr="00951C57">
        <w:rPr>
          <w:rFonts w:ascii="Times New Roman" w:hAnsi="Times New Roman" w:cs="Times New Roman"/>
          <w:sz w:val="28"/>
          <w:szCs w:val="28"/>
        </w:rPr>
        <w:t>ki</w:t>
      </w:r>
      <w:r w:rsidR="00D92981" w:rsidRPr="00951C57">
        <w:rPr>
          <w:rFonts w:ascii="Times New Roman" w:hAnsi="Times New Roman" w:cs="Times New Roman"/>
          <w:sz w:val="28"/>
          <w:szCs w:val="28"/>
        </w:rPr>
        <w:t xml:space="preserve"> teknik personel kurs ve stajını</w:t>
      </w:r>
      <w:r w:rsidR="00F24BBD" w:rsidRPr="00951C57">
        <w:rPr>
          <w:rFonts w:ascii="Times New Roman" w:hAnsi="Times New Roman" w:cs="Times New Roman"/>
          <w:sz w:val="28"/>
          <w:szCs w:val="28"/>
        </w:rPr>
        <w:t>n</w:t>
      </w:r>
      <w:r w:rsidR="00D92981" w:rsidRPr="00951C57">
        <w:rPr>
          <w:rFonts w:ascii="Times New Roman" w:hAnsi="Times New Roman" w:cs="Times New Roman"/>
          <w:sz w:val="28"/>
          <w:szCs w:val="28"/>
        </w:rPr>
        <w:t xml:space="preserve"> başarıyla</w:t>
      </w:r>
      <w:r w:rsidR="006D5651" w:rsidRPr="00951C57">
        <w:rPr>
          <w:rFonts w:ascii="Times New Roman" w:hAnsi="Times New Roman" w:cs="Times New Roman"/>
          <w:sz w:val="28"/>
          <w:szCs w:val="28"/>
        </w:rPr>
        <w:t xml:space="preserve"> </w:t>
      </w:r>
      <w:r w:rsidR="00D92981" w:rsidRPr="00951C57">
        <w:rPr>
          <w:rFonts w:ascii="Times New Roman" w:hAnsi="Times New Roman" w:cs="Times New Roman"/>
          <w:sz w:val="28"/>
          <w:szCs w:val="28"/>
        </w:rPr>
        <w:t>tamamla</w:t>
      </w:r>
      <w:r w:rsidR="00F24BBD" w:rsidRPr="00951C57">
        <w:rPr>
          <w:rFonts w:ascii="Times New Roman" w:hAnsi="Times New Roman" w:cs="Times New Roman"/>
          <w:sz w:val="28"/>
          <w:szCs w:val="28"/>
        </w:rPr>
        <w:t xml:space="preserve">nması </w:t>
      </w:r>
      <w:r w:rsidR="00A70477" w:rsidRPr="00951C57">
        <w:rPr>
          <w:rFonts w:ascii="Times New Roman" w:hAnsi="Times New Roman" w:cs="Times New Roman"/>
          <w:sz w:val="28"/>
          <w:szCs w:val="28"/>
        </w:rPr>
        <w:t xml:space="preserve">gerekmektedir. </w:t>
      </w:r>
      <w:r w:rsidR="004F64DF" w:rsidRPr="00951C57">
        <w:rPr>
          <w:rFonts w:ascii="Times New Roman" w:hAnsi="Times New Roman" w:cs="Times New Roman"/>
          <w:sz w:val="28"/>
          <w:szCs w:val="28"/>
        </w:rPr>
        <w:t>K</w:t>
      </w:r>
      <w:r w:rsidR="00A70477" w:rsidRPr="00951C57">
        <w:rPr>
          <w:rFonts w:ascii="Times New Roman" w:hAnsi="Times New Roman" w:cs="Times New Roman"/>
          <w:sz w:val="28"/>
          <w:szCs w:val="28"/>
        </w:rPr>
        <w:t>amu istihdam programının başarıyla tamamlandığına ilişkin bilgi ve belgeler, başvuru esnasında ilgili Oda tarafından incelenecektir.</w:t>
      </w:r>
    </w:p>
    <w:p w:rsidR="001773FD" w:rsidRPr="00951C57" w:rsidRDefault="00721387" w:rsidP="00B00B86">
      <w:pPr>
        <w:pStyle w:val="ListeParagraf"/>
        <w:numPr>
          <w:ilvl w:val="1"/>
          <w:numId w:val="15"/>
        </w:numP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Yönetmel</w:t>
      </w:r>
      <w:r w:rsidR="00B86676" w:rsidRPr="00951C57">
        <w:rPr>
          <w:rFonts w:ascii="Times New Roman" w:hAnsi="Times New Roman" w:cs="Times New Roman"/>
          <w:sz w:val="28"/>
          <w:szCs w:val="28"/>
        </w:rPr>
        <w:t>iğin yürürlüğe girmesinden önce</w:t>
      </w:r>
      <w:r w:rsidR="00D83EE8" w:rsidRPr="00951C57">
        <w:rPr>
          <w:rFonts w:ascii="Times New Roman" w:hAnsi="Times New Roman" w:cs="Times New Roman"/>
          <w:sz w:val="28"/>
          <w:szCs w:val="28"/>
        </w:rPr>
        <w:t xml:space="preserve">, </w:t>
      </w:r>
      <w:r w:rsidRPr="00951C57">
        <w:rPr>
          <w:rFonts w:ascii="Times New Roman" w:hAnsi="Times New Roman" w:cs="Times New Roman"/>
          <w:sz w:val="28"/>
          <w:szCs w:val="28"/>
        </w:rPr>
        <w:t>gerçek kişi sigorta acentesi ve/veya tüzel kişi sigorta acentesinde müdür olarak Levha kaydı bulunup</w:t>
      </w:r>
      <w:r w:rsidR="00413CAE" w:rsidRPr="00951C57">
        <w:rPr>
          <w:rFonts w:ascii="Times New Roman" w:hAnsi="Times New Roman" w:cs="Times New Roman"/>
          <w:sz w:val="28"/>
          <w:szCs w:val="28"/>
        </w:rPr>
        <w:t xml:space="preserve"> da </w:t>
      </w:r>
      <w:r w:rsidR="00B86676" w:rsidRPr="00951C57">
        <w:rPr>
          <w:rFonts w:ascii="Times New Roman" w:hAnsi="Times New Roman" w:cs="Times New Roman"/>
          <w:sz w:val="28"/>
          <w:szCs w:val="28"/>
        </w:rPr>
        <w:t xml:space="preserve">hakkında meslekten çıkarma kararı verilmesi dışındaki sebeplerle </w:t>
      </w:r>
      <w:r w:rsidR="00413CAE" w:rsidRPr="00951C57">
        <w:rPr>
          <w:rFonts w:ascii="Times New Roman" w:hAnsi="Times New Roman" w:cs="Times New Roman"/>
          <w:sz w:val="28"/>
          <w:szCs w:val="28"/>
        </w:rPr>
        <w:t xml:space="preserve">Levha kaydı silinen ve </w:t>
      </w:r>
      <w:r w:rsidR="009808C0" w:rsidRPr="00951C57">
        <w:rPr>
          <w:rFonts w:ascii="Times New Roman" w:hAnsi="Times New Roman" w:cs="Times New Roman"/>
          <w:sz w:val="28"/>
          <w:szCs w:val="28"/>
        </w:rPr>
        <w:t xml:space="preserve">Levhaya </w:t>
      </w:r>
      <w:r w:rsidR="00413CAE" w:rsidRPr="00951C57">
        <w:rPr>
          <w:rFonts w:ascii="Times New Roman" w:hAnsi="Times New Roman" w:cs="Times New Roman"/>
          <w:sz w:val="28"/>
          <w:szCs w:val="28"/>
        </w:rPr>
        <w:t xml:space="preserve">yeniden yazılma talebinde bulunanlarda, öğrenim düzeyi ve asgari mesleki deneyim sürelerine ilişkin şartlar aranmaz. </w:t>
      </w:r>
      <w:r w:rsidR="00FA43C1" w:rsidRPr="00951C57">
        <w:rPr>
          <w:rFonts w:ascii="Times New Roman" w:hAnsi="Times New Roman" w:cs="Times New Roman"/>
          <w:sz w:val="28"/>
          <w:szCs w:val="28"/>
        </w:rPr>
        <w:t>Teknik personel i</w:t>
      </w:r>
      <w:r w:rsidR="00BD52AF" w:rsidRPr="00951C57">
        <w:rPr>
          <w:rFonts w:ascii="Times New Roman" w:hAnsi="Times New Roman" w:cs="Times New Roman"/>
          <w:sz w:val="28"/>
          <w:szCs w:val="28"/>
        </w:rPr>
        <w:t>çin de aynı kurallar uygulanır.</w:t>
      </w:r>
    </w:p>
    <w:p w:rsidR="00BD52AF" w:rsidRPr="00951C57" w:rsidRDefault="00BD52AF" w:rsidP="00B00B86">
      <w:pPr>
        <w:pStyle w:val="ListeParagraf"/>
        <w:numPr>
          <w:ilvl w:val="1"/>
          <w:numId w:val="15"/>
        </w:numP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951C57">
        <w:rPr>
          <w:rFonts w:ascii="Times New Roman" w:eastAsia="Times New Roman" w:hAnsi="Times New Roman" w:cs="Times New Roman"/>
          <w:noProof/>
          <w:sz w:val="28"/>
          <w:szCs w:val="28"/>
          <w:lang w:eastAsia="tr-TR"/>
        </w:rPr>
        <w:t>22.04.2014 tarihinden önce uygunluk belgesine sahip olmakla birlikte Levha kaydını yaptırmamış kişiler, Yönetmeliğin Geçici 1 inci maddesinde müdürlere ilişkin olarak belirtilen 30 Nisan 2015 tarihine kadar Levha kayıt ücretini ödeyerek Levha kaydı yaptırabilir</w:t>
      </w:r>
      <w:r w:rsidR="005F4E81" w:rsidRPr="00951C57">
        <w:rPr>
          <w:rFonts w:ascii="Times New Roman" w:eastAsia="Times New Roman" w:hAnsi="Times New Roman" w:cs="Times New Roman"/>
          <w:noProof/>
          <w:sz w:val="28"/>
          <w:szCs w:val="28"/>
          <w:lang w:eastAsia="tr-TR"/>
        </w:rPr>
        <w:t>.</w:t>
      </w:r>
      <w:r w:rsidR="00F11573" w:rsidRPr="00951C57">
        <w:rPr>
          <w:rFonts w:ascii="Times New Roman" w:eastAsia="Times New Roman" w:hAnsi="Times New Roman" w:cs="Times New Roman"/>
          <w:noProof/>
          <w:sz w:val="28"/>
          <w:szCs w:val="28"/>
          <w:lang w:eastAsia="tr-TR"/>
        </w:rPr>
        <w:t xml:space="preserve"> </w:t>
      </w:r>
    </w:p>
    <w:p w:rsidR="00F11573" w:rsidRPr="00951C57" w:rsidRDefault="00F11573" w:rsidP="00B00B86">
      <w:pPr>
        <w:pStyle w:val="ListeParagraf"/>
        <w:numPr>
          <w:ilvl w:val="1"/>
          <w:numId w:val="15"/>
        </w:numP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951C57">
        <w:rPr>
          <w:rFonts w:ascii="Times New Roman" w:eastAsia="Times New Roman" w:hAnsi="Times New Roman" w:cs="Times New Roman"/>
          <w:noProof/>
          <w:sz w:val="28"/>
          <w:szCs w:val="28"/>
          <w:lang w:eastAsia="tr-TR"/>
        </w:rPr>
        <w:t xml:space="preserve"> 14.04.2008 tarihinden önce </w:t>
      </w:r>
      <w:r w:rsidR="009F35EF" w:rsidRPr="00951C57">
        <w:rPr>
          <w:rFonts w:ascii="Times New Roman" w:eastAsia="Times New Roman" w:hAnsi="Times New Roman" w:cs="Times New Roman"/>
          <w:noProof/>
          <w:sz w:val="28"/>
          <w:szCs w:val="28"/>
          <w:lang w:eastAsia="tr-TR"/>
        </w:rPr>
        <w:t>tüzel kişi sigorta acentesinde ortak olduğunu ya da gerçek kişi sigorta acentesi olduğunu ilgili sicil kayıtları ile ispatlayanlar</w:t>
      </w:r>
      <w:r w:rsidR="00224814" w:rsidRPr="00951C57">
        <w:rPr>
          <w:rFonts w:ascii="Times New Roman" w:eastAsia="Times New Roman" w:hAnsi="Times New Roman" w:cs="Times New Roman"/>
          <w:noProof/>
          <w:sz w:val="28"/>
          <w:szCs w:val="28"/>
          <w:lang w:eastAsia="tr-TR"/>
        </w:rPr>
        <w:t xml:space="preserve">, </w:t>
      </w:r>
      <w:r w:rsidRPr="00951C57">
        <w:rPr>
          <w:rFonts w:ascii="Times New Roman" w:hAnsi="Times New Roman" w:cs="Times New Roman"/>
          <w:sz w:val="28"/>
          <w:szCs w:val="28"/>
        </w:rPr>
        <w:t xml:space="preserve">gerçek kişi </w:t>
      </w:r>
      <w:r w:rsidR="00224814" w:rsidRPr="00951C57">
        <w:rPr>
          <w:rFonts w:ascii="Times New Roman" w:hAnsi="Times New Roman" w:cs="Times New Roman"/>
          <w:sz w:val="28"/>
          <w:szCs w:val="28"/>
        </w:rPr>
        <w:t>sigorta</w:t>
      </w:r>
      <w:r w:rsidR="009F35EF" w:rsidRPr="00951C57">
        <w:rPr>
          <w:rFonts w:ascii="Times New Roman" w:hAnsi="Times New Roman" w:cs="Times New Roman"/>
          <w:sz w:val="28"/>
          <w:szCs w:val="28"/>
        </w:rPr>
        <w:t xml:space="preserve"> </w:t>
      </w:r>
      <w:r w:rsidRPr="00951C57">
        <w:rPr>
          <w:rFonts w:ascii="Times New Roman" w:hAnsi="Times New Roman" w:cs="Times New Roman"/>
          <w:sz w:val="28"/>
          <w:szCs w:val="28"/>
        </w:rPr>
        <w:t>acente</w:t>
      </w:r>
      <w:r w:rsidR="009F35EF" w:rsidRPr="00951C57">
        <w:rPr>
          <w:rFonts w:ascii="Times New Roman" w:hAnsi="Times New Roman" w:cs="Times New Roman"/>
          <w:sz w:val="28"/>
          <w:szCs w:val="28"/>
        </w:rPr>
        <w:t>si</w:t>
      </w:r>
      <w:r w:rsidR="00224814" w:rsidRPr="00951C57">
        <w:rPr>
          <w:rFonts w:ascii="Times New Roman" w:hAnsi="Times New Roman" w:cs="Times New Roman"/>
          <w:sz w:val="28"/>
          <w:szCs w:val="28"/>
        </w:rPr>
        <w:t xml:space="preserve"> ve</w:t>
      </w:r>
      <w:r w:rsidRPr="00951C57">
        <w:rPr>
          <w:rFonts w:ascii="Times New Roman" w:hAnsi="Times New Roman" w:cs="Times New Roman"/>
          <w:sz w:val="28"/>
          <w:szCs w:val="28"/>
        </w:rPr>
        <w:t xml:space="preserve"> tüzel kişi </w:t>
      </w:r>
      <w:r w:rsidR="009F35EF" w:rsidRPr="00951C57">
        <w:rPr>
          <w:rFonts w:ascii="Times New Roman" w:hAnsi="Times New Roman" w:cs="Times New Roman"/>
          <w:sz w:val="28"/>
          <w:szCs w:val="28"/>
        </w:rPr>
        <w:t xml:space="preserve">sigorta </w:t>
      </w:r>
      <w:r w:rsidRPr="00951C57">
        <w:rPr>
          <w:rFonts w:ascii="Times New Roman" w:hAnsi="Times New Roman" w:cs="Times New Roman"/>
          <w:sz w:val="28"/>
          <w:szCs w:val="28"/>
        </w:rPr>
        <w:t>acente</w:t>
      </w:r>
      <w:r w:rsidR="009F35EF" w:rsidRPr="00951C57">
        <w:rPr>
          <w:rFonts w:ascii="Times New Roman" w:hAnsi="Times New Roman" w:cs="Times New Roman"/>
          <w:sz w:val="28"/>
          <w:szCs w:val="28"/>
        </w:rPr>
        <w:t>si</w:t>
      </w:r>
      <w:r w:rsidR="00224814" w:rsidRPr="00951C57">
        <w:rPr>
          <w:rFonts w:ascii="Times New Roman" w:hAnsi="Times New Roman" w:cs="Times New Roman"/>
          <w:sz w:val="28"/>
          <w:szCs w:val="28"/>
        </w:rPr>
        <w:t xml:space="preserve"> müdüründe aranan</w:t>
      </w:r>
      <w:r w:rsidRPr="00951C57">
        <w:rPr>
          <w:rFonts w:ascii="Times New Roman" w:hAnsi="Times New Roman" w:cs="Times New Roman"/>
          <w:sz w:val="28"/>
          <w:szCs w:val="28"/>
        </w:rPr>
        <w:t xml:space="preserve"> öğrenim düzeyi ve mesleki deneyim şartları</w:t>
      </w:r>
      <w:r w:rsidR="00224814" w:rsidRPr="00951C57">
        <w:rPr>
          <w:rFonts w:ascii="Times New Roman" w:hAnsi="Times New Roman" w:cs="Times New Roman"/>
          <w:sz w:val="28"/>
          <w:szCs w:val="28"/>
        </w:rPr>
        <w:t>ndan muaf tutulacaktır.</w:t>
      </w:r>
    </w:p>
    <w:p w:rsidR="00186CB5" w:rsidRPr="00951C57" w:rsidRDefault="00186CB5" w:rsidP="00DB327F">
      <w:pPr>
        <w:tabs>
          <w:tab w:val="left" w:pos="851"/>
          <w:tab w:val="left" w:pos="1134"/>
        </w:tabs>
        <w:spacing w:after="0" w:line="240" w:lineRule="auto"/>
        <w:jc w:val="both"/>
        <w:rPr>
          <w:rFonts w:ascii="Times New Roman" w:hAnsi="Times New Roman" w:cs="Times New Roman"/>
          <w:sz w:val="28"/>
          <w:szCs w:val="28"/>
        </w:rPr>
      </w:pPr>
    </w:p>
    <w:p w:rsidR="00186CB5" w:rsidRPr="00951C57" w:rsidRDefault="00CF09A4" w:rsidP="00186CB5">
      <w:pPr>
        <w:pStyle w:val="ListeParagraf"/>
        <w:numPr>
          <w:ilvl w:val="0"/>
          <w:numId w:val="15"/>
        </w:numPr>
        <w:tabs>
          <w:tab w:val="left" w:pos="851"/>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t xml:space="preserve">Tüzel kişi acenteyi </w:t>
      </w:r>
      <w:r w:rsidR="00186CB5" w:rsidRPr="00951C57">
        <w:rPr>
          <w:rFonts w:ascii="Times New Roman" w:hAnsi="Times New Roman" w:cs="Times New Roman"/>
          <w:b/>
          <w:sz w:val="28"/>
          <w:szCs w:val="28"/>
        </w:rPr>
        <w:t>temsil ve ilzama yetkili olanlar hakkında açıklama</w:t>
      </w:r>
    </w:p>
    <w:p w:rsidR="00186CB5" w:rsidRPr="00951C57" w:rsidRDefault="00186CB5" w:rsidP="00186CB5">
      <w:pPr>
        <w:pStyle w:val="ListeParagraf"/>
        <w:tabs>
          <w:tab w:val="left" w:pos="851"/>
        </w:tabs>
        <w:spacing w:after="0" w:line="240" w:lineRule="auto"/>
        <w:ind w:left="567"/>
        <w:jc w:val="both"/>
        <w:rPr>
          <w:rFonts w:ascii="Times New Roman" w:hAnsi="Times New Roman" w:cs="Times New Roman"/>
          <w:b/>
          <w:sz w:val="28"/>
          <w:szCs w:val="28"/>
        </w:rPr>
      </w:pPr>
    </w:p>
    <w:p w:rsidR="00CA67DE" w:rsidRPr="00951C57" w:rsidRDefault="00D64011"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A</w:t>
      </w:r>
      <w:r w:rsidRPr="00951C57">
        <w:rPr>
          <w:rFonts w:ascii="Times New Roman" w:hAnsi="Times New Roman" w:cs="Times New Roman"/>
          <w:bCs/>
          <w:sz w:val="28"/>
          <w:szCs w:val="28"/>
        </w:rPr>
        <w:t xml:space="preserve">nonim şirketlerde ve </w:t>
      </w:r>
      <w:proofErr w:type="spellStart"/>
      <w:r w:rsidRPr="00951C57">
        <w:rPr>
          <w:rFonts w:ascii="Times New Roman" w:hAnsi="Times New Roman" w:cs="Times New Roman"/>
          <w:bCs/>
          <w:sz w:val="28"/>
          <w:szCs w:val="28"/>
        </w:rPr>
        <w:t>limited</w:t>
      </w:r>
      <w:proofErr w:type="spellEnd"/>
      <w:r w:rsidRPr="00951C57">
        <w:rPr>
          <w:rFonts w:ascii="Times New Roman" w:hAnsi="Times New Roman" w:cs="Times New Roman"/>
          <w:bCs/>
          <w:sz w:val="28"/>
          <w:szCs w:val="28"/>
        </w:rPr>
        <w:t xml:space="preserve"> şirketlerde temsil yetkisini haiz en az bir kişinin veya müdür olarak atanan üçüncü kişinin sigorta acentesi müdüründe aranan şartları taşıması gerekir. Sigortacılığa ilişkin yapılan işlemlerde, müdürde aranan şartları taşıyan en az bir temsil yetkisini haiz yöneticinin imzası gerekir.</w:t>
      </w:r>
    </w:p>
    <w:p w:rsidR="00B038F8" w:rsidRDefault="00B038F8" w:rsidP="00B038F8">
      <w:pPr>
        <w:pStyle w:val="ListeParagraf"/>
        <w:tabs>
          <w:tab w:val="left" w:pos="851"/>
          <w:tab w:val="left" w:pos="993"/>
        </w:tabs>
        <w:spacing w:after="0" w:line="240" w:lineRule="auto"/>
        <w:ind w:left="567"/>
        <w:jc w:val="both"/>
        <w:rPr>
          <w:rFonts w:ascii="Times New Roman" w:hAnsi="Times New Roman" w:cs="Times New Roman"/>
          <w:sz w:val="28"/>
          <w:szCs w:val="28"/>
        </w:rPr>
      </w:pPr>
    </w:p>
    <w:p w:rsidR="00951C57" w:rsidRDefault="00951C57" w:rsidP="00B038F8">
      <w:pPr>
        <w:pStyle w:val="ListeParagraf"/>
        <w:tabs>
          <w:tab w:val="left" w:pos="851"/>
          <w:tab w:val="left" w:pos="993"/>
        </w:tabs>
        <w:spacing w:after="0" w:line="240" w:lineRule="auto"/>
        <w:ind w:left="567"/>
        <w:jc w:val="both"/>
        <w:rPr>
          <w:rFonts w:ascii="Times New Roman" w:hAnsi="Times New Roman" w:cs="Times New Roman"/>
          <w:sz w:val="28"/>
          <w:szCs w:val="28"/>
        </w:rPr>
      </w:pPr>
    </w:p>
    <w:p w:rsidR="00951C57" w:rsidRPr="00951C57" w:rsidRDefault="00951C57" w:rsidP="00B038F8">
      <w:pPr>
        <w:pStyle w:val="ListeParagraf"/>
        <w:tabs>
          <w:tab w:val="left" w:pos="851"/>
          <w:tab w:val="left" w:pos="993"/>
        </w:tabs>
        <w:spacing w:after="0" w:line="240" w:lineRule="auto"/>
        <w:ind w:left="567"/>
        <w:jc w:val="both"/>
        <w:rPr>
          <w:rFonts w:ascii="Times New Roman" w:hAnsi="Times New Roman" w:cs="Times New Roman"/>
          <w:sz w:val="28"/>
          <w:szCs w:val="28"/>
        </w:rPr>
      </w:pPr>
      <w:bookmarkStart w:id="0" w:name="_GoBack"/>
      <w:bookmarkEnd w:id="0"/>
    </w:p>
    <w:p w:rsidR="00395E32" w:rsidRPr="00951C57" w:rsidRDefault="00395E32" w:rsidP="00F30891">
      <w:pPr>
        <w:pStyle w:val="ListeParagraf"/>
        <w:numPr>
          <w:ilvl w:val="0"/>
          <w:numId w:val="15"/>
        </w:numPr>
        <w:tabs>
          <w:tab w:val="left" w:pos="851"/>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lastRenderedPageBreak/>
        <w:t xml:space="preserve">Şube </w:t>
      </w:r>
      <w:r w:rsidR="00480EB9" w:rsidRPr="00951C57">
        <w:rPr>
          <w:rFonts w:ascii="Times New Roman" w:hAnsi="Times New Roman" w:cs="Times New Roman"/>
          <w:b/>
          <w:sz w:val="28"/>
          <w:szCs w:val="28"/>
        </w:rPr>
        <w:t>ve asgari ödenmiş s</w:t>
      </w:r>
      <w:r w:rsidR="004A2447" w:rsidRPr="00951C57">
        <w:rPr>
          <w:rFonts w:ascii="Times New Roman" w:hAnsi="Times New Roman" w:cs="Times New Roman"/>
          <w:b/>
          <w:sz w:val="28"/>
          <w:szCs w:val="28"/>
        </w:rPr>
        <w:t>ermaye</w:t>
      </w:r>
      <w:r w:rsidR="00480EB9" w:rsidRPr="00951C57">
        <w:rPr>
          <w:rFonts w:ascii="Times New Roman" w:hAnsi="Times New Roman" w:cs="Times New Roman"/>
          <w:b/>
          <w:sz w:val="28"/>
          <w:szCs w:val="28"/>
        </w:rPr>
        <w:t>/m</w:t>
      </w:r>
      <w:r w:rsidR="004633ED" w:rsidRPr="00951C57">
        <w:rPr>
          <w:rFonts w:ascii="Times New Roman" w:hAnsi="Times New Roman" w:cs="Times New Roman"/>
          <w:b/>
          <w:sz w:val="28"/>
          <w:szCs w:val="28"/>
        </w:rPr>
        <w:t>alvarlığı</w:t>
      </w:r>
    </w:p>
    <w:p w:rsidR="006719EE" w:rsidRPr="00951C57" w:rsidRDefault="006719EE" w:rsidP="001773FD">
      <w:pPr>
        <w:spacing w:after="0" w:line="240" w:lineRule="auto"/>
        <w:ind w:firstLine="567"/>
        <w:jc w:val="both"/>
        <w:rPr>
          <w:rFonts w:ascii="Times New Roman" w:hAnsi="Times New Roman" w:cs="Times New Roman"/>
          <w:b/>
          <w:sz w:val="28"/>
          <w:szCs w:val="28"/>
        </w:rPr>
      </w:pPr>
    </w:p>
    <w:p w:rsidR="00905CDB" w:rsidRPr="00951C57" w:rsidRDefault="00931780"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Acenteler</w:t>
      </w:r>
      <w:r w:rsidR="00613C16" w:rsidRPr="00951C57">
        <w:rPr>
          <w:rFonts w:ascii="Times New Roman" w:hAnsi="Times New Roman" w:cs="Times New Roman"/>
          <w:sz w:val="28"/>
          <w:szCs w:val="28"/>
        </w:rPr>
        <w:t>in teşkilatlanması</w:t>
      </w:r>
      <w:r w:rsidRPr="00951C57">
        <w:rPr>
          <w:rFonts w:ascii="Times New Roman" w:hAnsi="Times New Roman" w:cs="Times New Roman"/>
          <w:sz w:val="28"/>
          <w:szCs w:val="28"/>
        </w:rPr>
        <w:t xml:space="preserve">, merkez </w:t>
      </w:r>
      <w:r w:rsidR="002075A1" w:rsidRPr="00951C57">
        <w:rPr>
          <w:rFonts w:ascii="Times New Roman" w:hAnsi="Times New Roman" w:cs="Times New Roman"/>
          <w:sz w:val="28"/>
          <w:szCs w:val="28"/>
        </w:rPr>
        <w:t>ile</w:t>
      </w:r>
      <w:r w:rsidRPr="00951C57">
        <w:rPr>
          <w:rFonts w:ascii="Times New Roman" w:hAnsi="Times New Roman" w:cs="Times New Roman"/>
          <w:sz w:val="28"/>
          <w:szCs w:val="28"/>
        </w:rPr>
        <w:t xml:space="preserve"> </w:t>
      </w:r>
      <w:r w:rsidR="002075A1" w:rsidRPr="00951C57">
        <w:rPr>
          <w:rFonts w:ascii="Times New Roman" w:hAnsi="Times New Roman" w:cs="Times New Roman"/>
          <w:sz w:val="28"/>
          <w:szCs w:val="28"/>
        </w:rPr>
        <w:t>merkeze bağlı şubeler</w:t>
      </w:r>
      <w:r w:rsidR="00170CE1" w:rsidRPr="00951C57">
        <w:rPr>
          <w:rFonts w:ascii="Times New Roman" w:hAnsi="Times New Roman" w:cs="Times New Roman"/>
          <w:sz w:val="28"/>
          <w:szCs w:val="28"/>
        </w:rPr>
        <w:t xml:space="preserve"> </w:t>
      </w:r>
      <w:r w:rsidR="00613C16" w:rsidRPr="00951C57">
        <w:rPr>
          <w:rFonts w:ascii="Times New Roman" w:hAnsi="Times New Roman" w:cs="Times New Roman"/>
          <w:sz w:val="28"/>
          <w:szCs w:val="28"/>
        </w:rPr>
        <w:t xml:space="preserve">şeklinde olabilir. </w:t>
      </w:r>
    </w:p>
    <w:p w:rsidR="00905CDB" w:rsidRPr="00951C57" w:rsidRDefault="00613C16"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Mevcut durumda Levhaya kayıtlı bir gerçek veya tüzel kişi acentenin başka bir acentenin şubesi olması mümkün değildir. Ancak, acente olarak faaliy</w:t>
      </w:r>
      <w:r w:rsidR="00797CBC" w:rsidRPr="00951C57">
        <w:rPr>
          <w:rFonts w:ascii="Times New Roman" w:hAnsi="Times New Roman" w:cs="Times New Roman"/>
          <w:sz w:val="28"/>
          <w:szCs w:val="28"/>
        </w:rPr>
        <w:t>etini sona erdiren kişi Levha</w:t>
      </w:r>
      <w:r w:rsidRPr="00951C57">
        <w:rPr>
          <w:rFonts w:ascii="Times New Roman" w:hAnsi="Times New Roman" w:cs="Times New Roman"/>
          <w:sz w:val="28"/>
          <w:szCs w:val="28"/>
        </w:rPr>
        <w:t xml:space="preserve"> kaydını sildirdikten sonra başka bir acentenin şubesinde </w:t>
      </w:r>
      <w:r w:rsidR="002075A1" w:rsidRPr="00951C57">
        <w:rPr>
          <w:rFonts w:ascii="Times New Roman" w:hAnsi="Times New Roman" w:cs="Times New Roman"/>
          <w:sz w:val="28"/>
          <w:szCs w:val="28"/>
        </w:rPr>
        <w:t xml:space="preserve">duruma göre teknik personel veya müdür olarak </w:t>
      </w:r>
      <w:r w:rsidRPr="00951C57">
        <w:rPr>
          <w:rFonts w:ascii="Times New Roman" w:hAnsi="Times New Roman" w:cs="Times New Roman"/>
          <w:sz w:val="28"/>
          <w:szCs w:val="28"/>
        </w:rPr>
        <w:t xml:space="preserve">görev alabilir. </w:t>
      </w:r>
    </w:p>
    <w:p w:rsidR="00905CDB" w:rsidRPr="00951C57" w:rsidRDefault="00613C16" w:rsidP="00B00B86">
      <w:pPr>
        <w:pStyle w:val="ListeParagraf"/>
        <w:numPr>
          <w:ilvl w:val="1"/>
          <w:numId w:val="15"/>
        </w:numPr>
        <w:tabs>
          <w:tab w:val="left" w:pos="851"/>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Şubenin aracılık faaliyeti, merkezin yetkisi ile sınırlı olacaktır.</w:t>
      </w:r>
    </w:p>
    <w:p w:rsidR="007410F3" w:rsidRPr="00951C57" w:rsidRDefault="007410F3" w:rsidP="007410F3">
      <w:pPr>
        <w:pStyle w:val="ListeParagraf"/>
        <w:numPr>
          <w:ilvl w:val="1"/>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tr-TR"/>
        </w:rPr>
      </w:pPr>
      <w:r w:rsidRPr="00951C57">
        <w:rPr>
          <w:rFonts w:ascii="Times New Roman" w:eastAsia="Times New Roman" w:hAnsi="Times New Roman" w:cs="Times New Roman"/>
          <w:sz w:val="28"/>
          <w:szCs w:val="28"/>
          <w:lang w:eastAsia="tr-TR"/>
        </w:rPr>
        <w:t xml:space="preserve">Gerçek ve tüzel kişi acentelerin şube açmak istemeleri halinde merkez için 300.000.-TL ve her bir şube için ilave 25.000.-TL </w:t>
      </w:r>
      <w:r w:rsidR="00157D1F" w:rsidRPr="00951C57">
        <w:rPr>
          <w:rFonts w:ascii="Times New Roman" w:eastAsia="Times New Roman" w:hAnsi="Times New Roman" w:cs="Times New Roman"/>
          <w:sz w:val="28"/>
          <w:szCs w:val="28"/>
          <w:lang w:eastAsia="tr-TR"/>
        </w:rPr>
        <w:t>malvarlığı/</w:t>
      </w:r>
      <w:r w:rsidRPr="00951C57">
        <w:rPr>
          <w:rFonts w:ascii="Times New Roman" w:eastAsia="Times New Roman" w:hAnsi="Times New Roman" w:cs="Times New Roman"/>
          <w:sz w:val="28"/>
          <w:szCs w:val="28"/>
          <w:lang w:eastAsia="tr-TR"/>
        </w:rPr>
        <w:t>sermayeye sahip olmaları gerekmektedir.</w:t>
      </w:r>
    </w:p>
    <w:p w:rsidR="007410F3" w:rsidRPr="00951C57" w:rsidRDefault="00CD5555" w:rsidP="00C07893">
      <w:pPr>
        <w:pStyle w:val="ListeParagraf"/>
        <w:numPr>
          <w:ilvl w:val="1"/>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tr-TR"/>
        </w:rPr>
      </w:pPr>
      <w:r w:rsidRPr="00951C57">
        <w:rPr>
          <w:rFonts w:ascii="Times New Roman" w:eastAsia="Times New Roman" w:hAnsi="Times New Roman" w:cs="Times New Roman"/>
          <w:sz w:val="28"/>
          <w:szCs w:val="28"/>
          <w:lang w:eastAsia="tr-TR"/>
        </w:rPr>
        <w:t>O</w:t>
      </w:r>
      <w:r w:rsidR="007410F3" w:rsidRPr="00951C57">
        <w:rPr>
          <w:rFonts w:ascii="Times New Roman" w:eastAsia="Times New Roman" w:hAnsi="Times New Roman" w:cs="Times New Roman"/>
          <w:sz w:val="28"/>
          <w:szCs w:val="28"/>
          <w:lang w:eastAsia="tr-TR"/>
        </w:rPr>
        <w:t>dalara sunulan gerçek kişi acentelerin malvarlığı beyanı bildirimleri ile tüzel kişi acentelerin sermaye durumlarına ilişkin beyanların mali müşavir tarafından onaylanması gerekmektedir.</w:t>
      </w:r>
    </w:p>
    <w:p w:rsidR="007410F3" w:rsidRPr="00951C57" w:rsidRDefault="007410F3" w:rsidP="007410F3">
      <w:pPr>
        <w:pStyle w:val="ListeParagraf"/>
        <w:numPr>
          <w:ilvl w:val="1"/>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tr-TR"/>
        </w:rPr>
      </w:pPr>
      <w:r w:rsidRPr="00951C57">
        <w:rPr>
          <w:rFonts w:ascii="Times New Roman" w:eastAsia="Times New Roman" w:hAnsi="Times New Roman" w:cs="Times New Roman"/>
          <w:sz w:val="28"/>
          <w:szCs w:val="28"/>
          <w:lang w:eastAsia="tr-TR"/>
        </w:rPr>
        <w:t xml:space="preserve">Yönetmeliğin 9 uncu maddesinin </w:t>
      </w:r>
      <w:r w:rsidR="004633ED" w:rsidRPr="00951C57">
        <w:rPr>
          <w:rFonts w:ascii="Times New Roman" w:eastAsia="Times New Roman" w:hAnsi="Times New Roman" w:cs="Times New Roman"/>
          <w:sz w:val="28"/>
          <w:szCs w:val="28"/>
          <w:lang w:eastAsia="tr-TR"/>
        </w:rPr>
        <w:t>üç</w:t>
      </w:r>
      <w:r w:rsidRPr="00951C57">
        <w:rPr>
          <w:rFonts w:ascii="Times New Roman" w:eastAsia="Times New Roman" w:hAnsi="Times New Roman" w:cs="Times New Roman"/>
          <w:sz w:val="28"/>
          <w:szCs w:val="28"/>
          <w:lang w:eastAsia="tr-TR"/>
        </w:rPr>
        <w:t xml:space="preserve">üncü fıkrası kapsamında şube şeklinde teşkilatlanan veya mesafeli satış yapan acenteler </w:t>
      </w:r>
      <w:proofErr w:type="gramStart"/>
      <w:r w:rsidRPr="00951C57">
        <w:rPr>
          <w:rFonts w:ascii="Times New Roman" w:eastAsia="Times New Roman" w:hAnsi="Times New Roman" w:cs="Times New Roman"/>
          <w:sz w:val="28"/>
          <w:szCs w:val="28"/>
          <w:lang w:eastAsia="tr-TR"/>
        </w:rPr>
        <w:t>yıl</w:t>
      </w:r>
      <w:r w:rsidR="00C76E3B" w:rsidRPr="00951C57">
        <w:rPr>
          <w:rFonts w:ascii="Times New Roman" w:eastAsia="Times New Roman" w:hAnsi="Times New Roman" w:cs="Times New Roman"/>
          <w:sz w:val="28"/>
          <w:szCs w:val="28"/>
          <w:lang w:eastAsia="tr-TR"/>
        </w:rPr>
        <w:t xml:space="preserve"> </w:t>
      </w:r>
      <w:r w:rsidRPr="00951C57">
        <w:rPr>
          <w:rFonts w:ascii="Times New Roman" w:eastAsia="Times New Roman" w:hAnsi="Times New Roman" w:cs="Times New Roman"/>
          <w:sz w:val="28"/>
          <w:szCs w:val="28"/>
          <w:lang w:eastAsia="tr-TR"/>
        </w:rPr>
        <w:t>sonları</w:t>
      </w:r>
      <w:proofErr w:type="gramEnd"/>
      <w:r w:rsidRPr="00951C57">
        <w:rPr>
          <w:rFonts w:ascii="Times New Roman" w:eastAsia="Times New Roman" w:hAnsi="Times New Roman" w:cs="Times New Roman"/>
          <w:sz w:val="28"/>
          <w:szCs w:val="28"/>
          <w:lang w:eastAsia="tr-TR"/>
        </w:rPr>
        <w:t xml:space="preserve"> itibariyle satışına aracılık ettikleri prim tutarının en az %4’ü kadar </w:t>
      </w:r>
      <w:r w:rsidR="00C76E3B" w:rsidRPr="00951C57">
        <w:rPr>
          <w:rFonts w:ascii="Times New Roman" w:eastAsia="Times New Roman" w:hAnsi="Times New Roman" w:cs="Times New Roman"/>
          <w:sz w:val="28"/>
          <w:szCs w:val="28"/>
          <w:lang w:eastAsia="tr-TR"/>
        </w:rPr>
        <w:t>malvarlığı/</w:t>
      </w:r>
      <w:proofErr w:type="spellStart"/>
      <w:r w:rsidRPr="00951C57">
        <w:rPr>
          <w:rFonts w:ascii="Times New Roman" w:eastAsia="Times New Roman" w:hAnsi="Times New Roman" w:cs="Times New Roman"/>
          <w:sz w:val="28"/>
          <w:szCs w:val="28"/>
          <w:lang w:eastAsia="tr-TR"/>
        </w:rPr>
        <w:t>özkaynağa</w:t>
      </w:r>
      <w:proofErr w:type="spellEnd"/>
      <w:r w:rsidRPr="00951C57">
        <w:rPr>
          <w:rFonts w:ascii="Times New Roman" w:eastAsia="Times New Roman" w:hAnsi="Times New Roman" w:cs="Times New Roman"/>
          <w:sz w:val="28"/>
          <w:szCs w:val="28"/>
          <w:lang w:eastAsia="tr-TR"/>
        </w:rPr>
        <w:t xml:space="preserve"> sahip olduklarını tevsik eden mali müşavir onaylı mali tablolarını, bir sonraki yılın Nisan ayı sonuna kadar TOBB’a iletmek zorunda</w:t>
      </w:r>
      <w:r w:rsidR="00A23D2C" w:rsidRPr="00951C57">
        <w:rPr>
          <w:rFonts w:ascii="Times New Roman" w:eastAsia="Times New Roman" w:hAnsi="Times New Roman" w:cs="Times New Roman"/>
          <w:sz w:val="28"/>
          <w:szCs w:val="28"/>
          <w:lang w:eastAsia="tr-TR"/>
        </w:rPr>
        <w:t xml:space="preserve">dır. </w:t>
      </w:r>
      <w:r w:rsidR="00C76E3B" w:rsidRPr="00951C57">
        <w:rPr>
          <w:rFonts w:ascii="Times New Roman" w:eastAsia="Times New Roman" w:hAnsi="Times New Roman" w:cs="Times New Roman"/>
          <w:sz w:val="28"/>
          <w:szCs w:val="28"/>
          <w:lang w:eastAsia="tr-TR"/>
        </w:rPr>
        <w:t>Malvarlığı/</w:t>
      </w:r>
      <w:proofErr w:type="spellStart"/>
      <w:r w:rsidR="00095289" w:rsidRPr="00951C57">
        <w:rPr>
          <w:rFonts w:ascii="Times New Roman" w:eastAsia="Times New Roman" w:hAnsi="Times New Roman" w:cs="Times New Roman"/>
          <w:sz w:val="28"/>
          <w:szCs w:val="28"/>
          <w:lang w:eastAsia="tr-TR"/>
        </w:rPr>
        <w:t>ö</w:t>
      </w:r>
      <w:r w:rsidR="00A23D2C" w:rsidRPr="00951C57">
        <w:rPr>
          <w:rFonts w:ascii="Times New Roman" w:eastAsia="Times New Roman" w:hAnsi="Times New Roman" w:cs="Times New Roman"/>
          <w:sz w:val="28"/>
          <w:szCs w:val="28"/>
          <w:lang w:eastAsia="tr-TR"/>
        </w:rPr>
        <w:t>zkaynak</w:t>
      </w:r>
      <w:proofErr w:type="spellEnd"/>
      <w:r w:rsidR="00A23D2C" w:rsidRPr="00951C57">
        <w:rPr>
          <w:rFonts w:ascii="Times New Roman" w:eastAsia="Times New Roman" w:hAnsi="Times New Roman" w:cs="Times New Roman"/>
          <w:sz w:val="28"/>
          <w:szCs w:val="28"/>
          <w:lang w:eastAsia="tr-TR"/>
        </w:rPr>
        <w:t xml:space="preserve"> tutarının 300.000</w:t>
      </w:r>
      <w:r w:rsidR="00C76E3B" w:rsidRPr="00951C57">
        <w:rPr>
          <w:rFonts w:ascii="Times New Roman" w:eastAsia="Times New Roman" w:hAnsi="Times New Roman" w:cs="Times New Roman"/>
          <w:sz w:val="28"/>
          <w:szCs w:val="28"/>
          <w:lang w:eastAsia="tr-TR"/>
        </w:rPr>
        <w:t>.-</w:t>
      </w:r>
      <w:r w:rsidRPr="00951C57">
        <w:rPr>
          <w:rFonts w:ascii="Times New Roman" w:eastAsia="Times New Roman" w:hAnsi="Times New Roman" w:cs="Times New Roman"/>
          <w:sz w:val="28"/>
          <w:szCs w:val="28"/>
          <w:lang w:eastAsia="tr-TR"/>
        </w:rPr>
        <w:t>TL</w:t>
      </w:r>
      <w:r w:rsidR="00E00C21" w:rsidRPr="00951C57">
        <w:rPr>
          <w:rFonts w:ascii="Times New Roman" w:eastAsia="Times New Roman" w:hAnsi="Times New Roman" w:cs="Times New Roman"/>
          <w:sz w:val="28"/>
          <w:szCs w:val="28"/>
          <w:lang w:eastAsia="tr-TR"/>
        </w:rPr>
        <w:t>’</w:t>
      </w:r>
      <w:r w:rsidRPr="00951C57">
        <w:rPr>
          <w:rFonts w:ascii="Times New Roman" w:eastAsia="Times New Roman" w:hAnsi="Times New Roman" w:cs="Times New Roman"/>
          <w:sz w:val="28"/>
          <w:szCs w:val="28"/>
          <w:lang w:eastAsia="tr-TR"/>
        </w:rPr>
        <w:t>den az olması veya yukarıda bahse konu oranın altına düşülmesi durumlarında ilgili acenteye Haziran ayı sonuna kadar süre verilecek</w:t>
      </w:r>
      <w:r w:rsidR="009B35D8" w:rsidRPr="00951C57">
        <w:rPr>
          <w:rFonts w:ascii="Times New Roman" w:eastAsia="Times New Roman" w:hAnsi="Times New Roman" w:cs="Times New Roman"/>
          <w:sz w:val="28"/>
          <w:szCs w:val="28"/>
          <w:lang w:eastAsia="tr-TR"/>
        </w:rPr>
        <w:t xml:space="preserve"> olup, bu acenteler TOBB tarafından Müsteşarlığa bildirilecektir.</w:t>
      </w:r>
      <w:r w:rsidRPr="00951C57">
        <w:rPr>
          <w:rFonts w:ascii="Times New Roman" w:eastAsia="Times New Roman" w:hAnsi="Times New Roman" w:cs="Times New Roman"/>
          <w:sz w:val="28"/>
          <w:szCs w:val="28"/>
          <w:lang w:eastAsia="tr-TR"/>
        </w:rPr>
        <w:t xml:space="preserve"> Haziran ayı sonuna kadar </w:t>
      </w:r>
      <w:r w:rsidR="00BB7282" w:rsidRPr="00951C57">
        <w:rPr>
          <w:rFonts w:ascii="Times New Roman" w:eastAsia="Times New Roman" w:hAnsi="Times New Roman" w:cs="Times New Roman"/>
          <w:sz w:val="28"/>
          <w:szCs w:val="28"/>
          <w:lang w:eastAsia="tr-TR"/>
        </w:rPr>
        <w:t>malvarlığı/</w:t>
      </w:r>
      <w:r w:rsidRPr="00951C57">
        <w:rPr>
          <w:rFonts w:ascii="Times New Roman" w:eastAsia="Times New Roman" w:hAnsi="Times New Roman" w:cs="Times New Roman"/>
          <w:sz w:val="28"/>
          <w:szCs w:val="28"/>
          <w:lang w:eastAsia="tr-TR"/>
        </w:rPr>
        <w:t>sermaye koşullarını sağlayamayan acentelerin şubelik faaliyetlerine veya mesafeli satış faaliyetlerine son verilecektir.</w:t>
      </w:r>
    </w:p>
    <w:p w:rsidR="004A2447" w:rsidRPr="00951C57" w:rsidRDefault="004A2447" w:rsidP="007410F3">
      <w:pPr>
        <w:pStyle w:val="ListeParagraf"/>
        <w:numPr>
          <w:ilvl w:val="1"/>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tr-TR"/>
        </w:rPr>
      </w:pPr>
      <w:r w:rsidRPr="00951C57">
        <w:rPr>
          <w:rFonts w:ascii="Times New Roman" w:eastAsia="Times New Roman" w:hAnsi="Times New Roman" w:cs="Times New Roman"/>
          <w:sz w:val="28"/>
          <w:szCs w:val="28"/>
          <w:lang w:eastAsia="tr-TR"/>
        </w:rPr>
        <w:t xml:space="preserve"> Yönetmeliğin 9 uncu maddesinin dördüncü fıkrasında bahsi geçen </w:t>
      </w:r>
      <w:r w:rsidR="009B35D8" w:rsidRPr="00951C57">
        <w:rPr>
          <w:rFonts w:ascii="Times New Roman" w:eastAsia="Times New Roman" w:hAnsi="Times New Roman" w:cs="Times New Roman"/>
          <w:sz w:val="28"/>
          <w:szCs w:val="28"/>
          <w:lang w:eastAsia="tr-TR"/>
        </w:rPr>
        <w:t xml:space="preserve">asgari ödenmiş sermaye/malvarlığının en az %50’si için aranan nakde kolay dönüşebilir yatırım araçları kapsamına </w:t>
      </w:r>
      <w:r w:rsidR="00DA09BF" w:rsidRPr="00951C57">
        <w:rPr>
          <w:rFonts w:ascii="Times New Roman" w:eastAsia="Times New Roman" w:hAnsi="Times New Roman" w:cs="Times New Roman"/>
          <w:sz w:val="28"/>
          <w:szCs w:val="28"/>
          <w:lang w:eastAsia="tr-TR"/>
        </w:rPr>
        <w:t xml:space="preserve">her türlü menkul ve menkul kıymet, geriye kalan %50’lik kısmına ise gayrimenkul de </w:t>
      </w:r>
      <w:proofErr w:type="gramStart"/>
      <w:r w:rsidR="00DA09BF" w:rsidRPr="00951C57">
        <w:rPr>
          <w:rFonts w:ascii="Times New Roman" w:eastAsia="Times New Roman" w:hAnsi="Times New Roman" w:cs="Times New Roman"/>
          <w:sz w:val="28"/>
          <w:szCs w:val="28"/>
          <w:lang w:eastAsia="tr-TR"/>
        </w:rPr>
        <w:t>dahil</w:t>
      </w:r>
      <w:proofErr w:type="gramEnd"/>
      <w:r w:rsidR="00DA09BF" w:rsidRPr="00951C57">
        <w:rPr>
          <w:rFonts w:ascii="Times New Roman" w:eastAsia="Times New Roman" w:hAnsi="Times New Roman" w:cs="Times New Roman"/>
          <w:sz w:val="28"/>
          <w:szCs w:val="28"/>
          <w:lang w:eastAsia="tr-TR"/>
        </w:rPr>
        <w:t xml:space="preserve"> olmak üzere her türlü malvarlığı girmektedir.</w:t>
      </w:r>
    </w:p>
    <w:p w:rsidR="007410F3" w:rsidRPr="00951C57" w:rsidRDefault="007410F3" w:rsidP="007410F3">
      <w:pPr>
        <w:pStyle w:val="ListeParagraf"/>
        <w:numPr>
          <w:ilvl w:val="1"/>
          <w:numId w:val="15"/>
        </w:numPr>
        <w:tabs>
          <w:tab w:val="left" w:pos="851"/>
          <w:tab w:val="left" w:pos="993"/>
        </w:tabs>
        <w:spacing w:after="0" w:line="240" w:lineRule="auto"/>
        <w:ind w:left="0" w:firstLine="567"/>
        <w:jc w:val="both"/>
        <w:rPr>
          <w:rFonts w:ascii="Times New Roman" w:eastAsia="Times New Roman" w:hAnsi="Times New Roman" w:cs="Times New Roman"/>
          <w:sz w:val="28"/>
          <w:szCs w:val="28"/>
          <w:lang w:eastAsia="tr-TR"/>
        </w:rPr>
      </w:pPr>
      <w:r w:rsidRPr="00951C57">
        <w:rPr>
          <w:rFonts w:ascii="Times New Roman" w:eastAsia="Times New Roman" w:hAnsi="Times New Roman" w:cs="Times New Roman"/>
          <w:sz w:val="28"/>
          <w:szCs w:val="28"/>
          <w:lang w:eastAsia="tr-TR"/>
        </w:rPr>
        <w:t xml:space="preserve">Yönetmeliğin 9 uncu maddesinin birinci fıkrası ile getirilen </w:t>
      </w:r>
      <w:r w:rsidR="00BB7282" w:rsidRPr="00951C57">
        <w:rPr>
          <w:rFonts w:ascii="Times New Roman" w:eastAsia="Times New Roman" w:hAnsi="Times New Roman" w:cs="Times New Roman"/>
          <w:sz w:val="28"/>
          <w:szCs w:val="28"/>
          <w:lang w:eastAsia="tr-TR"/>
        </w:rPr>
        <w:t>malvarlığı/</w:t>
      </w:r>
      <w:r w:rsidRPr="00951C57">
        <w:rPr>
          <w:rFonts w:ascii="Times New Roman" w:eastAsia="Times New Roman" w:hAnsi="Times New Roman" w:cs="Times New Roman"/>
          <w:sz w:val="28"/>
          <w:szCs w:val="28"/>
          <w:lang w:eastAsia="tr-TR"/>
        </w:rPr>
        <w:t>asgari kuruluş sermayesi 30.12.2014 tarihi itibariyle mevcut kurulu acenteler hakkında uygulanmaz.</w:t>
      </w:r>
    </w:p>
    <w:p w:rsidR="006C0F43" w:rsidRPr="00951C57" w:rsidRDefault="006C0F43" w:rsidP="001773FD">
      <w:pPr>
        <w:spacing w:after="0" w:line="240" w:lineRule="auto"/>
        <w:ind w:firstLine="567"/>
        <w:jc w:val="both"/>
        <w:rPr>
          <w:rFonts w:ascii="Times New Roman" w:hAnsi="Times New Roman" w:cs="Times New Roman"/>
          <w:sz w:val="28"/>
          <w:szCs w:val="28"/>
        </w:rPr>
      </w:pPr>
    </w:p>
    <w:p w:rsidR="003D4354" w:rsidRPr="00951C57" w:rsidRDefault="003D4354" w:rsidP="00F30891">
      <w:pPr>
        <w:pStyle w:val="ListeParagraf"/>
        <w:numPr>
          <w:ilvl w:val="0"/>
          <w:numId w:val="15"/>
        </w:numPr>
        <w:tabs>
          <w:tab w:val="left" w:pos="851"/>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t>İş paylaşımı</w:t>
      </w:r>
    </w:p>
    <w:p w:rsidR="003D4354" w:rsidRPr="00951C57" w:rsidRDefault="003D4354" w:rsidP="001773FD">
      <w:pPr>
        <w:spacing w:after="0" w:line="240" w:lineRule="auto"/>
        <w:ind w:firstLine="567"/>
        <w:jc w:val="both"/>
        <w:rPr>
          <w:rFonts w:ascii="Times New Roman" w:hAnsi="Times New Roman" w:cs="Times New Roman"/>
          <w:sz w:val="28"/>
          <w:szCs w:val="28"/>
        </w:rPr>
      </w:pPr>
    </w:p>
    <w:p w:rsidR="009B3C71" w:rsidRPr="00951C57" w:rsidRDefault="00B4223B" w:rsidP="00B00B86">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S</w:t>
      </w:r>
      <w:r w:rsidR="006A2279" w:rsidRPr="00951C57">
        <w:rPr>
          <w:rFonts w:ascii="Times New Roman" w:hAnsi="Times New Roman" w:cs="Times New Roman"/>
          <w:sz w:val="28"/>
          <w:szCs w:val="28"/>
        </w:rPr>
        <w:t>igorta acentelerinin</w:t>
      </w:r>
      <w:r w:rsidR="003D4354" w:rsidRPr="00951C57">
        <w:rPr>
          <w:rFonts w:ascii="Times New Roman" w:hAnsi="Times New Roman" w:cs="Times New Roman"/>
          <w:sz w:val="28"/>
          <w:szCs w:val="28"/>
        </w:rPr>
        <w:t xml:space="preserve"> doğrudan sigorta şirketi tarafından yetkilendirilmesi gerekmektedir. Bu kapsamda, her ne ad altında olursa olsun (ikili sözleşme, üçlü sözleşme, alt acentelik, tali acentelik, bağlı acentelik, acenteler arası işbirliği </w:t>
      </w:r>
      <w:proofErr w:type="spellStart"/>
      <w:r w:rsidR="003D4354" w:rsidRPr="00951C57">
        <w:rPr>
          <w:rFonts w:ascii="Times New Roman" w:hAnsi="Times New Roman" w:cs="Times New Roman"/>
          <w:sz w:val="28"/>
          <w:szCs w:val="28"/>
        </w:rPr>
        <w:t>v.b</w:t>
      </w:r>
      <w:proofErr w:type="spellEnd"/>
      <w:r w:rsidR="003D4354" w:rsidRPr="00951C57">
        <w:rPr>
          <w:rFonts w:ascii="Times New Roman" w:hAnsi="Times New Roman" w:cs="Times New Roman"/>
          <w:sz w:val="28"/>
          <w:szCs w:val="28"/>
        </w:rPr>
        <w:t xml:space="preserve">.) doğrudan sigorta şirketi tarafından yetkinin verilmediği yapılanmalar çerçevesinde iş paylaşımında bulunulması mümkün değildir. </w:t>
      </w:r>
    </w:p>
    <w:p w:rsidR="00D64011" w:rsidRPr="00951C57" w:rsidRDefault="00D64011" w:rsidP="00B00B86">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Acenteler</w:t>
      </w:r>
      <w:r w:rsidR="003D4354" w:rsidRPr="00951C57">
        <w:rPr>
          <w:rFonts w:ascii="Times New Roman" w:hAnsi="Times New Roman" w:cs="Times New Roman"/>
          <w:sz w:val="28"/>
          <w:szCs w:val="28"/>
        </w:rPr>
        <w:t xml:space="preserve"> </w:t>
      </w:r>
      <w:r w:rsidRPr="00951C57">
        <w:rPr>
          <w:rFonts w:ascii="Times New Roman" w:hAnsi="Times New Roman" w:cs="Times New Roman"/>
          <w:sz w:val="28"/>
          <w:szCs w:val="28"/>
        </w:rPr>
        <w:t xml:space="preserve">arası iş paylaşımı yetkili olunan sigorta şirketi adına aracılık faaliyetinde bulunulması, </w:t>
      </w:r>
      <w:proofErr w:type="spellStart"/>
      <w:r w:rsidRPr="00951C57">
        <w:rPr>
          <w:rFonts w:ascii="Times New Roman" w:hAnsi="Times New Roman" w:cs="Times New Roman"/>
          <w:sz w:val="28"/>
          <w:szCs w:val="28"/>
        </w:rPr>
        <w:t>iyiniyet</w:t>
      </w:r>
      <w:proofErr w:type="spellEnd"/>
      <w:r w:rsidRPr="00951C57">
        <w:rPr>
          <w:rFonts w:ascii="Times New Roman" w:hAnsi="Times New Roman" w:cs="Times New Roman"/>
          <w:sz w:val="28"/>
          <w:szCs w:val="28"/>
        </w:rPr>
        <w:t xml:space="preserve"> ve dürüstlük kuralları çerçevesinde mümkündür. İşbirliği yapılan acente sayısının beşi aşması veya işbirliği yapılan </w:t>
      </w:r>
      <w:r w:rsidRPr="00951C57">
        <w:rPr>
          <w:rFonts w:ascii="Times New Roman" w:hAnsi="Times New Roman" w:cs="Times New Roman"/>
          <w:sz w:val="28"/>
          <w:szCs w:val="28"/>
        </w:rPr>
        <w:lastRenderedPageBreak/>
        <w:t xml:space="preserve">acentelerin aynı il sınırları içerisinde bulunmaması durumları </w:t>
      </w:r>
      <w:proofErr w:type="spellStart"/>
      <w:r w:rsidRPr="00951C57">
        <w:rPr>
          <w:rFonts w:ascii="Times New Roman" w:hAnsi="Times New Roman" w:cs="Times New Roman"/>
          <w:sz w:val="28"/>
          <w:szCs w:val="28"/>
        </w:rPr>
        <w:t>iyiniyet</w:t>
      </w:r>
      <w:proofErr w:type="spellEnd"/>
      <w:r w:rsidRPr="00951C57">
        <w:rPr>
          <w:rFonts w:ascii="Times New Roman" w:hAnsi="Times New Roman" w:cs="Times New Roman"/>
          <w:sz w:val="28"/>
          <w:szCs w:val="28"/>
        </w:rPr>
        <w:t xml:space="preserve"> ve dürüstlük kurallarına aykırılık olarak kabul edilir.</w:t>
      </w:r>
    </w:p>
    <w:p w:rsidR="009B3C71" w:rsidRPr="00951C57" w:rsidRDefault="003D4354" w:rsidP="00B00B86">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 xml:space="preserve">Yapılan işbirliğinde, sigortalının mağdur olmaması için </w:t>
      </w:r>
      <w:r w:rsidR="006A2279" w:rsidRPr="00951C57">
        <w:rPr>
          <w:rFonts w:ascii="Times New Roman" w:hAnsi="Times New Roman" w:cs="Times New Roman"/>
          <w:sz w:val="28"/>
          <w:szCs w:val="28"/>
        </w:rPr>
        <w:t xml:space="preserve">sigorta poliçesinin başka bir sigorta acentesinden düzenlendiğine dair </w:t>
      </w:r>
      <w:r w:rsidR="008177E8" w:rsidRPr="00951C57">
        <w:rPr>
          <w:rFonts w:ascii="Times New Roman" w:hAnsi="Times New Roman" w:cs="Times New Roman"/>
          <w:sz w:val="28"/>
          <w:szCs w:val="28"/>
        </w:rPr>
        <w:t xml:space="preserve">sigorta ettirene </w:t>
      </w:r>
      <w:r w:rsidR="006A2279" w:rsidRPr="00951C57">
        <w:rPr>
          <w:rFonts w:ascii="Times New Roman" w:hAnsi="Times New Roman" w:cs="Times New Roman"/>
          <w:sz w:val="28"/>
          <w:szCs w:val="28"/>
        </w:rPr>
        <w:t xml:space="preserve">bilgi verilmesi ve </w:t>
      </w:r>
      <w:r w:rsidRPr="00951C57">
        <w:rPr>
          <w:rFonts w:ascii="Times New Roman" w:hAnsi="Times New Roman" w:cs="Times New Roman"/>
          <w:sz w:val="28"/>
          <w:szCs w:val="28"/>
        </w:rPr>
        <w:t xml:space="preserve">sigorta sözleşmesi akdeden tarafından </w:t>
      </w:r>
      <w:r w:rsidR="00B4223B" w:rsidRPr="00951C57">
        <w:rPr>
          <w:rFonts w:ascii="Times New Roman" w:hAnsi="Times New Roman" w:cs="Times New Roman"/>
          <w:sz w:val="28"/>
          <w:szCs w:val="28"/>
        </w:rPr>
        <w:t xml:space="preserve">tanzim edilen </w:t>
      </w:r>
      <w:r w:rsidRPr="00951C57">
        <w:rPr>
          <w:rFonts w:ascii="Times New Roman" w:hAnsi="Times New Roman" w:cs="Times New Roman"/>
          <w:sz w:val="28"/>
          <w:szCs w:val="28"/>
        </w:rPr>
        <w:t xml:space="preserve">prim tahsilat makbuzunun </w:t>
      </w:r>
      <w:r w:rsidR="00B4223B" w:rsidRPr="00951C57">
        <w:rPr>
          <w:rFonts w:ascii="Times New Roman" w:hAnsi="Times New Roman" w:cs="Times New Roman"/>
          <w:sz w:val="28"/>
          <w:szCs w:val="28"/>
        </w:rPr>
        <w:t xml:space="preserve">sigorta ettirene </w:t>
      </w:r>
      <w:r w:rsidRPr="00951C57">
        <w:rPr>
          <w:rFonts w:ascii="Times New Roman" w:hAnsi="Times New Roman" w:cs="Times New Roman"/>
          <w:sz w:val="28"/>
          <w:szCs w:val="28"/>
        </w:rPr>
        <w:t>teslim edilmesi gereklidir.</w:t>
      </w:r>
    </w:p>
    <w:p w:rsidR="00FF5AB1" w:rsidRPr="00951C57" w:rsidRDefault="003D4354" w:rsidP="00B00B86">
      <w:pPr>
        <w:pStyle w:val="ListeParagraf"/>
        <w:numPr>
          <w:ilvl w:val="1"/>
          <w:numId w:val="15"/>
        </w:numPr>
        <w:tabs>
          <w:tab w:val="left" w:pos="0"/>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Bu çerçevede, sigorta şirketlerinin de sistemlerini yalnızca kendi acenteleri tarafından poliçe düzenlenebilecek biçimde ve kendi acentesi olmayanları önleyecek biçimde ayarlamaları, şifre verilmesi vb. yöntemlerle sigorta şirketinden acentelik yetkisi alınmadan acentelik yapılmasını önlemeleri gerekmektedir.</w:t>
      </w:r>
    </w:p>
    <w:p w:rsidR="00D03020" w:rsidRPr="00951C57" w:rsidRDefault="00D03020" w:rsidP="001773FD">
      <w:pPr>
        <w:tabs>
          <w:tab w:val="left" w:pos="0"/>
          <w:tab w:val="left" w:pos="1134"/>
        </w:tabs>
        <w:spacing w:after="0" w:line="240" w:lineRule="auto"/>
        <w:ind w:firstLine="567"/>
        <w:jc w:val="both"/>
        <w:rPr>
          <w:rFonts w:ascii="Times New Roman" w:hAnsi="Times New Roman" w:cs="Times New Roman"/>
          <w:sz w:val="28"/>
          <w:szCs w:val="28"/>
        </w:rPr>
      </w:pPr>
    </w:p>
    <w:p w:rsidR="007F09D7" w:rsidRPr="00951C57" w:rsidRDefault="007F09D7" w:rsidP="00F30891">
      <w:pPr>
        <w:pStyle w:val="ListeParagraf"/>
        <w:numPr>
          <w:ilvl w:val="0"/>
          <w:numId w:val="15"/>
        </w:numPr>
        <w:tabs>
          <w:tab w:val="left" w:pos="0"/>
          <w:tab w:val="left" w:pos="851"/>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t>Acentelik sözleşmeleri</w:t>
      </w:r>
    </w:p>
    <w:p w:rsidR="00A618B6" w:rsidRPr="00951C57" w:rsidRDefault="00A618B6" w:rsidP="001773FD">
      <w:pPr>
        <w:pStyle w:val="ListeParagraf"/>
        <w:tabs>
          <w:tab w:val="left" w:pos="0"/>
          <w:tab w:val="left" w:pos="993"/>
        </w:tabs>
        <w:spacing w:after="0" w:line="240" w:lineRule="auto"/>
        <w:ind w:left="567"/>
        <w:jc w:val="both"/>
        <w:rPr>
          <w:rFonts w:ascii="Times New Roman" w:hAnsi="Times New Roman" w:cs="Times New Roman"/>
          <w:b/>
          <w:sz w:val="28"/>
          <w:szCs w:val="28"/>
        </w:rPr>
      </w:pPr>
    </w:p>
    <w:p w:rsidR="00AC0AE1" w:rsidRPr="00951C57" w:rsidRDefault="00AC0AE1" w:rsidP="00B00B86">
      <w:pPr>
        <w:pStyle w:val="ListeParagraf"/>
        <w:numPr>
          <w:ilvl w:val="1"/>
          <w:numId w:val="15"/>
        </w:numPr>
        <w:tabs>
          <w:tab w:val="left" w:pos="0"/>
          <w:tab w:val="left" w:pos="142"/>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Yönetmeliğin 15 inci maddesinde sigorta şirketleriyle acenteler arasında sözleşmeyle düzenlenmesi gereken asgari başlıklar belirlenmiştir. Bahsedilen başlıkların içeriği sözleşme serbestisi çerçevesinde taraflarca belirlenecektir.</w:t>
      </w:r>
    </w:p>
    <w:p w:rsidR="00340DF6" w:rsidRPr="00951C57" w:rsidRDefault="00AC0AE1" w:rsidP="00B00B86">
      <w:pPr>
        <w:pStyle w:val="ListeParagraf"/>
        <w:numPr>
          <w:ilvl w:val="1"/>
          <w:numId w:val="15"/>
        </w:numPr>
        <w:tabs>
          <w:tab w:val="left" w:pos="0"/>
          <w:tab w:val="left" w:pos="142"/>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 xml:space="preserve">Acentelik sözleşmelerinin olabildiğince net, açık ve somut hükümler içerecek biçimde düzenlenmesi, sözleşme hükümleri ile tarafların menfaatlerini etkileyen değişikliklerde taraflara yeterli bilgi verilmesi, değişikliklere uyum konusunda </w:t>
      </w:r>
      <w:r w:rsidR="00DA09BF" w:rsidRPr="00951C57">
        <w:rPr>
          <w:rFonts w:ascii="Times New Roman" w:hAnsi="Times New Roman" w:cs="Times New Roman"/>
          <w:sz w:val="28"/>
          <w:szCs w:val="28"/>
        </w:rPr>
        <w:t xml:space="preserve">ilgili Yönetmelik hükmü </w:t>
      </w:r>
      <w:r w:rsidR="003E4C42" w:rsidRPr="00951C57">
        <w:rPr>
          <w:rFonts w:ascii="Times New Roman" w:hAnsi="Times New Roman" w:cs="Times New Roman"/>
          <w:sz w:val="28"/>
          <w:szCs w:val="28"/>
        </w:rPr>
        <w:t xml:space="preserve">çerçevesinde </w:t>
      </w:r>
      <w:r w:rsidRPr="00951C57">
        <w:rPr>
          <w:rFonts w:ascii="Times New Roman" w:hAnsi="Times New Roman" w:cs="Times New Roman"/>
          <w:sz w:val="28"/>
          <w:szCs w:val="28"/>
        </w:rPr>
        <w:t xml:space="preserve">yeterli süre ve </w:t>
      </w:r>
      <w:r w:rsidR="00340DF6" w:rsidRPr="00951C57">
        <w:rPr>
          <w:rFonts w:ascii="Times New Roman" w:hAnsi="Times New Roman" w:cs="Times New Roman"/>
          <w:sz w:val="28"/>
          <w:szCs w:val="28"/>
        </w:rPr>
        <w:t>imkân</w:t>
      </w:r>
      <w:r w:rsidRPr="00951C57">
        <w:rPr>
          <w:rFonts w:ascii="Times New Roman" w:hAnsi="Times New Roman" w:cs="Times New Roman"/>
          <w:sz w:val="28"/>
          <w:szCs w:val="28"/>
        </w:rPr>
        <w:t xml:space="preserve"> sağlanması, sektöre olan güveni zedeleyecek nitelikte keyfi uygulamalardan kaçınılması gerekmektedir.  </w:t>
      </w:r>
    </w:p>
    <w:p w:rsidR="00AC0AE1" w:rsidRPr="00951C57" w:rsidRDefault="00AC0AE1" w:rsidP="00B00B86">
      <w:pPr>
        <w:pStyle w:val="ListeParagraf"/>
        <w:numPr>
          <w:ilvl w:val="1"/>
          <w:numId w:val="15"/>
        </w:numPr>
        <w:tabs>
          <w:tab w:val="left" w:pos="0"/>
          <w:tab w:val="left" w:pos="142"/>
          <w:tab w:val="left" w:pos="993"/>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 xml:space="preserve">Acentelik sözleşmelerinde Yönetmeliğin 15 inci maddesinde sayılan hususların uygulanmasına ilişkin açıklayıcı hükümlerin yanı sıra, tarafların ilgili mevzuatta yer alan hak ve yükümlülüklerine de yer verilmesi (Örneğin; 6102 sayılı Türk Ticaret Kanununun </w:t>
      </w:r>
      <w:r w:rsidR="000C041F" w:rsidRPr="00951C57">
        <w:rPr>
          <w:rFonts w:ascii="Times New Roman" w:hAnsi="Times New Roman" w:cs="Times New Roman"/>
          <w:sz w:val="28"/>
          <w:szCs w:val="28"/>
        </w:rPr>
        <w:t>“</w:t>
      </w:r>
      <w:r w:rsidR="000C041F" w:rsidRPr="00951C57">
        <w:rPr>
          <w:rFonts w:ascii="Times New Roman" w:hAnsi="Times New Roman" w:cs="Times New Roman"/>
          <w:bCs/>
          <w:sz w:val="28"/>
          <w:szCs w:val="28"/>
        </w:rPr>
        <w:t>Ücrete hak kazandıran işlemler” başlıklı</w:t>
      </w:r>
      <w:r w:rsidR="000C041F" w:rsidRPr="00951C57">
        <w:rPr>
          <w:rFonts w:ascii="Times New Roman" w:hAnsi="Times New Roman" w:cs="Times New Roman"/>
          <w:sz w:val="28"/>
          <w:szCs w:val="28"/>
        </w:rPr>
        <w:t xml:space="preserve"> 113 üncü maddesi</w:t>
      </w:r>
      <w:r w:rsidRPr="00951C57">
        <w:rPr>
          <w:rFonts w:ascii="Times New Roman" w:hAnsi="Times New Roman" w:cs="Times New Roman"/>
          <w:bCs/>
          <w:sz w:val="28"/>
          <w:szCs w:val="28"/>
        </w:rPr>
        <w:t xml:space="preserve">, </w:t>
      </w:r>
      <w:r w:rsidR="000C041F" w:rsidRPr="00951C57">
        <w:rPr>
          <w:rFonts w:ascii="Times New Roman" w:hAnsi="Times New Roman" w:cs="Times New Roman"/>
          <w:bCs/>
          <w:sz w:val="28"/>
          <w:szCs w:val="28"/>
        </w:rPr>
        <w:t xml:space="preserve">“Denkleştirme istemi” başlıklı </w:t>
      </w:r>
      <w:r w:rsidRPr="00951C57">
        <w:rPr>
          <w:rFonts w:ascii="Times New Roman" w:hAnsi="Times New Roman" w:cs="Times New Roman"/>
          <w:bCs/>
          <w:sz w:val="28"/>
          <w:szCs w:val="28"/>
        </w:rPr>
        <w:t xml:space="preserve">122 </w:t>
      </w:r>
      <w:proofErr w:type="spellStart"/>
      <w:r w:rsidRPr="00951C57">
        <w:rPr>
          <w:rFonts w:ascii="Times New Roman" w:hAnsi="Times New Roman" w:cs="Times New Roman"/>
          <w:bCs/>
          <w:sz w:val="28"/>
          <w:szCs w:val="28"/>
        </w:rPr>
        <w:t>nci</w:t>
      </w:r>
      <w:proofErr w:type="spellEnd"/>
      <w:r w:rsidRPr="00951C57">
        <w:rPr>
          <w:rFonts w:ascii="Times New Roman" w:hAnsi="Times New Roman" w:cs="Times New Roman"/>
          <w:bCs/>
          <w:sz w:val="28"/>
          <w:szCs w:val="28"/>
        </w:rPr>
        <w:t xml:space="preserve"> maddesi ve 5684 sayılı Sigortacılık Kanununun 23 üncü maddesinin </w:t>
      </w:r>
      <w:proofErr w:type="gramStart"/>
      <w:r w:rsidR="000C041F" w:rsidRPr="00951C57">
        <w:rPr>
          <w:rFonts w:ascii="Times New Roman" w:hAnsi="Times New Roman" w:cs="Times New Roman"/>
          <w:bCs/>
          <w:sz w:val="28"/>
          <w:szCs w:val="28"/>
        </w:rPr>
        <w:t>portföy</w:t>
      </w:r>
      <w:proofErr w:type="gramEnd"/>
      <w:r w:rsidR="000C041F" w:rsidRPr="00951C57">
        <w:rPr>
          <w:rFonts w:ascii="Times New Roman" w:hAnsi="Times New Roman" w:cs="Times New Roman"/>
          <w:bCs/>
          <w:sz w:val="28"/>
          <w:szCs w:val="28"/>
        </w:rPr>
        <w:t xml:space="preserve"> hakkına ilişkin </w:t>
      </w:r>
      <w:r w:rsidR="003D6E76" w:rsidRPr="00951C57">
        <w:rPr>
          <w:rFonts w:ascii="Times New Roman" w:hAnsi="Times New Roman" w:cs="Times New Roman"/>
          <w:bCs/>
          <w:sz w:val="28"/>
          <w:szCs w:val="28"/>
        </w:rPr>
        <w:t xml:space="preserve">on beş </w:t>
      </w:r>
      <w:r w:rsidRPr="00951C57">
        <w:rPr>
          <w:rFonts w:ascii="Times New Roman" w:hAnsi="Times New Roman" w:cs="Times New Roman"/>
          <w:bCs/>
          <w:sz w:val="28"/>
          <w:szCs w:val="28"/>
        </w:rPr>
        <w:t xml:space="preserve">ve </w:t>
      </w:r>
      <w:r w:rsidR="003D6E76" w:rsidRPr="00951C57">
        <w:rPr>
          <w:rFonts w:ascii="Times New Roman" w:hAnsi="Times New Roman" w:cs="Times New Roman"/>
          <w:bCs/>
          <w:sz w:val="28"/>
          <w:szCs w:val="28"/>
        </w:rPr>
        <w:t>on altı</w:t>
      </w:r>
      <w:r w:rsidRPr="00951C57">
        <w:rPr>
          <w:rFonts w:ascii="Times New Roman" w:hAnsi="Times New Roman" w:cs="Times New Roman"/>
          <w:bCs/>
          <w:sz w:val="28"/>
          <w:szCs w:val="28"/>
        </w:rPr>
        <w:t>ncı fıkraları)</w:t>
      </w:r>
      <w:r w:rsidR="000C041F" w:rsidRPr="00951C57">
        <w:rPr>
          <w:rFonts w:ascii="Times New Roman" w:hAnsi="Times New Roman" w:cs="Times New Roman"/>
          <w:bCs/>
          <w:sz w:val="28"/>
          <w:szCs w:val="28"/>
        </w:rPr>
        <w:t xml:space="preserve"> </w:t>
      </w:r>
      <w:r w:rsidR="00E95DE2" w:rsidRPr="00951C57">
        <w:rPr>
          <w:rFonts w:ascii="Times New Roman" w:hAnsi="Times New Roman" w:cs="Times New Roman"/>
          <w:sz w:val="28"/>
          <w:szCs w:val="28"/>
        </w:rPr>
        <w:t>tavsiye edilmektedir</w:t>
      </w:r>
      <w:r w:rsidRPr="00951C57">
        <w:rPr>
          <w:rFonts w:ascii="Times New Roman" w:hAnsi="Times New Roman" w:cs="Times New Roman"/>
          <w:sz w:val="28"/>
          <w:szCs w:val="28"/>
        </w:rPr>
        <w:t xml:space="preserve">. </w:t>
      </w:r>
      <w:r w:rsidRPr="00951C57">
        <w:rPr>
          <w:rFonts w:ascii="Times New Roman" w:hAnsi="Times New Roman" w:cs="Times New Roman"/>
          <w:bCs/>
          <w:sz w:val="28"/>
          <w:szCs w:val="28"/>
        </w:rPr>
        <w:t xml:space="preserve">Yönetmeliğin zorunlu hükmü olmamakla birlikte, gelecekte ortaya çıkması muhtemel ihtilaflara engel olunması amacıyla, yukarıda bahsedilen hususların çerçevesinin belirlenmesinde, uluslararası uygulamaların da göz önünde bulundurulması yararlı görülmektedir. </w:t>
      </w:r>
    </w:p>
    <w:p w:rsidR="00AC0AE1" w:rsidRPr="00951C57" w:rsidRDefault="00AC0AE1" w:rsidP="001773FD">
      <w:pPr>
        <w:tabs>
          <w:tab w:val="left" w:pos="0"/>
          <w:tab w:val="left" w:pos="1134"/>
        </w:tabs>
        <w:spacing w:after="0" w:line="240" w:lineRule="auto"/>
        <w:jc w:val="both"/>
        <w:rPr>
          <w:rFonts w:ascii="Times New Roman" w:hAnsi="Times New Roman" w:cs="Times New Roman"/>
          <w:sz w:val="28"/>
          <w:szCs w:val="28"/>
        </w:rPr>
      </w:pPr>
    </w:p>
    <w:p w:rsidR="005056E5" w:rsidRPr="00951C57" w:rsidRDefault="003D4354" w:rsidP="001773FD">
      <w:pPr>
        <w:pStyle w:val="ListeParagraf"/>
        <w:numPr>
          <w:ilvl w:val="0"/>
          <w:numId w:val="15"/>
        </w:numPr>
        <w:tabs>
          <w:tab w:val="left" w:pos="993"/>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t>Poliçe</w:t>
      </w:r>
      <w:r w:rsidR="00A40BD2" w:rsidRPr="00951C57">
        <w:rPr>
          <w:rFonts w:ascii="Times New Roman" w:hAnsi="Times New Roman" w:cs="Times New Roman"/>
          <w:b/>
          <w:sz w:val="28"/>
          <w:szCs w:val="28"/>
        </w:rPr>
        <w:t>lerin düzenlenmesine ilişkin bilgiler</w:t>
      </w:r>
      <w:r w:rsidRPr="00951C57">
        <w:rPr>
          <w:rFonts w:ascii="Times New Roman" w:hAnsi="Times New Roman" w:cs="Times New Roman"/>
          <w:b/>
          <w:sz w:val="28"/>
          <w:szCs w:val="28"/>
        </w:rPr>
        <w:t xml:space="preserve"> </w:t>
      </w:r>
    </w:p>
    <w:p w:rsidR="005056E5" w:rsidRPr="00951C57" w:rsidRDefault="005056E5" w:rsidP="001773FD">
      <w:pPr>
        <w:spacing w:after="0" w:line="240" w:lineRule="auto"/>
        <w:jc w:val="both"/>
        <w:rPr>
          <w:rFonts w:ascii="Times New Roman" w:hAnsi="Times New Roman" w:cs="Times New Roman"/>
          <w:sz w:val="28"/>
          <w:szCs w:val="28"/>
        </w:rPr>
      </w:pPr>
    </w:p>
    <w:p w:rsidR="005056E5" w:rsidRPr="00951C57" w:rsidRDefault="005056E5" w:rsidP="00B00B86">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 xml:space="preserve"> </w:t>
      </w:r>
      <w:r w:rsidR="003D4354" w:rsidRPr="00951C57">
        <w:rPr>
          <w:rFonts w:ascii="Times New Roman" w:hAnsi="Times New Roman" w:cs="Times New Roman"/>
          <w:sz w:val="28"/>
          <w:szCs w:val="28"/>
        </w:rPr>
        <w:t xml:space="preserve">Acentelerin, teknik personeli vasıtasıyla, acentelik yaptıkları fiziki mekânın dışında da (taşınabilir bilgisayarlarla yapılan işlemler de </w:t>
      </w:r>
      <w:r w:rsidR="008177E8" w:rsidRPr="00951C57">
        <w:rPr>
          <w:rFonts w:ascii="Times New Roman" w:hAnsi="Times New Roman" w:cs="Times New Roman"/>
          <w:sz w:val="28"/>
          <w:szCs w:val="28"/>
        </w:rPr>
        <w:t>dâhildir</w:t>
      </w:r>
      <w:r w:rsidR="003D4354" w:rsidRPr="00951C57">
        <w:rPr>
          <w:rFonts w:ascii="Times New Roman" w:hAnsi="Times New Roman" w:cs="Times New Roman"/>
          <w:sz w:val="28"/>
          <w:szCs w:val="28"/>
        </w:rPr>
        <w:t xml:space="preserve">) aracılık faaliyetinde bulunmaları mümkündür. </w:t>
      </w:r>
    </w:p>
    <w:p w:rsidR="005056E5" w:rsidRPr="00951C57" w:rsidRDefault="005056E5" w:rsidP="00B00B86">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 xml:space="preserve"> </w:t>
      </w:r>
      <w:proofErr w:type="gramStart"/>
      <w:r w:rsidR="003D4354" w:rsidRPr="00951C57">
        <w:rPr>
          <w:rFonts w:ascii="Times New Roman" w:hAnsi="Times New Roman" w:cs="Times New Roman"/>
          <w:sz w:val="28"/>
          <w:szCs w:val="28"/>
        </w:rPr>
        <w:t xml:space="preserve">Acentelik faaliyetinin yürütüleceği gerek fiziki mekân ve gerekse bu mekân dışındaki aracılık faaliyetlerinde işlemlerin mutlaka teknik personel tarafından yapılması; ayrıca, sigorta ürünlerinin satışı ve satışıyla bağlantılı işlemler kapsamında sigorta şirketleriyle kuracakları internet servisi uygulamalarında, sigorta havuzları ya da bilgi ve gözetim merkezleri gibi diğer </w:t>
      </w:r>
      <w:r w:rsidR="003D4354" w:rsidRPr="00951C57">
        <w:rPr>
          <w:rFonts w:ascii="Times New Roman" w:hAnsi="Times New Roman" w:cs="Times New Roman"/>
          <w:sz w:val="28"/>
          <w:szCs w:val="28"/>
        </w:rPr>
        <w:lastRenderedPageBreak/>
        <w:t>özellikli kurum ve kuruluşlar nezdinde yürütecekleri işlemlerin Levha bilgilerinde kayıtlı statik IP (statik internet protokolü adresi) numarası/</w:t>
      </w:r>
      <w:proofErr w:type="spellStart"/>
      <w:r w:rsidR="003D4354" w:rsidRPr="00951C57">
        <w:rPr>
          <w:rFonts w:ascii="Times New Roman" w:hAnsi="Times New Roman" w:cs="Times New Roman"/>
          <w:sz w:val="28"/>
          <w:szCs w:val="28"/>
        </w:rPr>
        <w:t>ları</w:t>
      </w:r>
      <w:proofErr w:type="spellEnd"/>
      <w:r w:rsidR="003D4354" w:rsidRPr="00951C57">
        <w:rPr>
          <w:rFonts w:ascii="Times New Roman" w:hAnsi="Times New Roman" w:cs="Times New Roman"/>
          <w:sz w:val="28"/>
          <w:szCs w:val="28"/>
        </w:rPr>
        <w:t xml:space="preserve"> üzerinden gerçekleştirilmesi gerekmektedir.</w:t>
      </w:r>
      <w:r w:rsidR="00D37B4E" w:rsidRPr="00951C57">
        <w:rPr>
          <w:rFonts w:ascii="Times New Roman" w:hAnsi="Times New Roman" w:cs="Times New Roman"/>
          <w:sz w:val="28"/>
          <w:szCs w:val="28"/>
        </w:rPr>
        <w:t xml:space="preserve"> </w:t>
      </w:r>
      <w:proofErr w:type="gramEnd"/>
    </w:p>
    <w:p w:rsidR="00306FDC" w:rsidRPr="00951C57" w:rsidRDefault="005056E5" w:rsidP="00B00B86">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 xml:space="preserve"> </w:t>
      </w:r>
      <w:proofErr w:type="gramStart"/>
      <w:r w:rsidR="00406B1A" w:rsidRPr="00951C57">
        <w:rPr>
          <w:rFonts w:ascii="Times New Roman" w:hAnsi="Times New Roman" w:cs="Times New Roman"/>
          <w:sz w:val="28"/>
          <w:szCs w:val="28"/>
        </w:rPr>
        <w:t>S</w:t>
      </w:r>
      <w:r w:rsidR="003D4354" w:rsidRPr="00951C57">
        <w:rPr>
          <w:rFonts w:ascii="Times New Roman" w:hAnsi="Times New Roman" w:cs="Times New Roman"/>
          <w:sz w:val="28"/>
          <w:szCs w:val="28"/>
        </w:rPr>
        <w:t xml:space="preserve">igorta şirketlerince </w:t>
      </w:r>
      <w:r w:rsidR="00A40BD2" w:rsidRPr="00951C57">
        <w:rPr>
          <w:rFonts w:ascii="Times New Roman" w:hAnsi="Times New Roman" w:cs="Times New Roman"/>
          <w:sz w:val="28"/>
          <w:szCs w:val="28"/>
        </w:rPr>
        <w:t xml:space="preserve">tahsis edilen kullanıcı adı ve şifrelerle </w:t>
      </w:r>
      <w:r w:rsidR="003D4354" w:rsidRPr="00951C57">
        <w:rPr>
          <w:rFonts w:ascii="Times New Roman" w:hAnsi="Times New Roman" w:cs="Times New Roman"/>
          <w:sz w:val="28"/>
          <w:szCs w:val="28"/>
        </w:rPr>
        <w:t xml:space="preserve">yapılacak işlemlerin </w:t>
      </w:r>
      <w:r w:rsidR="00A40BD2" w:rsidRPr="00951C57">
        <w:rPr>
          <w:rFonts w:ascii="Times New Roman" w:hAnsi="Times New Roman" w:cs="Times New Roman"/>
          <w:sz w:val="28"/>
          <w:szCs w:val="28"/>
        </w:rPr>
        <w:t xml:space="preserve">ilgili </w:t>
      </w:r>
      <w:r w:rsidR="003D4354" w:rsidRPr="00951C57">
        <w:rPr>
          <w:rFonts w:ascii="Times New Roman" w:hAnsi="Times New Roman" w:cs="Times New Roman"/>
          <w:sz w:val="28"/>
          <w:szCs w:val="28"/>
        </w:rPr>
        <w:t xml:space="preserve">acentelerin Levhada kayıtlı bulunan statik IP numaralarıyla eşleştirilmek suretiyle bu numaralar üzerinden gerçekleştirilmesi; ayrıca </w:t>
      </w:r>
      <w:r w:rsidR="004B78B5" w:rsidRPr="00951C57">
        <w:rPr>
          <w:rFonts w:ascii="Times New Roman" w:hAnsi="Times New Roman" w:cs="Times New Roman"/>
          <w:sz w:val="28"/>
          <w:szCs w:val="28"/>
        </w:rPr>
        <w:t>Yönetmeliğin</w:t>
      </w:r>
      <w:r w:rsidR="002C6939" w:rsidRPr="00951C57">
        <w:rPr>
          <w:rFonts w:ascii="Times New Roman" w:hAnsi="Times New Roman" w:cs="Times New Roman"/>
          <w:sz w:val="28"/>
          <w:szCs w:val="28"/>
        </w:rPr>
        <w:t xml:space="preserve"> 17</w:t>
      </w:r>
      <w:r w:rsidR="003D4354" w:rsidRPr="00951C57">
        <w:rPr>
          <w:rFonts w:ascii="Times New Roman" w:hAnsi="Times New Roman" w:cs="Times New Roman"/>
          <w:sz w:val="28"/>
          <w:szCs w:val="28"/>
        </w:rPr>
        <w:t xml:space="preserve"> </w:t>
      </w:r>
      <w:proofErr w:type="spellStart"/>
      <w:r w:rsidR="003D4354" w:rsidRPr="00951C57">
        <w:rPr>
          <w:rFonts w:ascii="Times New Roman" w:hAnsi="Times New Roman" w:cs="Times New Roman"/>
          <w:sz w:val="28"/>
          <w:szCs w:val="28"/>
        </w:rPr>
        <w:t>nci</w:t>
      </w:r>
      <w:proofErr w:type="spellEnd"/>
      <w:r w:rsidR="003D4354" w:rsidRPr="00951C57">
        <w:rPr>
          <w:rFonts w:ascii="Times New Roman" w:hAnsi="Times New Roman" w:cs="Times New Roman"/>
          <w:sz w:val="28"/>
          <w:szCs w:val="28"/>
        </w:rPr>
        <w:t xml:space="preserve"> maddesinin </w:t>
      </w:r>
      <w:r w:rsidR="002C6939" w:rsidRPr="00951C57">
        <w:rPr>
          <w:rFonts w:ascii="Times New Roman" w:hAnsi="Times New Roman" w:cs="Times New Roman"/>
          <w:sz w:val="28"/>
          <w:szCs w:val="28"/>
        </w:rPr>
        <w:t xml:space="preserve">üçüncü </w:t>
      </w:r>
      <w:r w:rsidR="003D4354" w:rsidRPr="00951C57">
        <w:rPr>
          <w:rFonts w:ascii="Times New Roman" w:hAnsi="Times New Roman" w:cs="Times New Roman"/>
          <w:sz w:val="28"/>
          <w:szCs w:val="28"/>
        </w:rPr>
        <w:t xml:space="preserve">fıkrası uyarınca </w:t>
      </w:r>
      <w:r w:rsidR="002C6939" w:rsidRPr="00951C57">
        <w:rPr>
          <w:rFonts w:ascii="Times New Roman" w:hAnsi="Times New Roman" w:cs="Times New Roman"/>
          <w:sz w:val="28"/>
          <w:szCs w:val="28"/>
        </w:rPr>
        <w:t>sigorta poliçelerine aracılık eden acentenin unvanı, Levha kayıt numarası veya Yönetmeliğin 13 üncü madde</w:t>
      </w:r>
      <w:r w:rsidR="005408FD" w:rsidRPr="00951C57">
        <w:rPr>
          <w:rFonts w:ascii="Times New Roman" w:hAnsi="Times New Roman" w:cs="Times New Roman"/>
          <w:sz w:val="28"/>
          <w:szCs w:val="28"/>
        </w:rPr>
        <w:t>sin</w:t>
      </w:r>
      <w:r w:rsidR="002C6939" w:rsidRPr="00951C57">
        <w:rPr>
          <w:rFonts w:ascii="Times New Roman" w:hAnsi="Times New Roman" w:cs="Times New Roman"/>
          <w:sz w:val="28"/>
          <w:szCs w:val="28"/>
        </w:rPr>
        <w:t xml:space="preserve">deki kurum ve kuruluşlar için kayıt numarasının poliçelerde yer alması </w:t>
      </w:r>
      <w:r w:rsidR="003D4354" w:rsidRPr="00951C57">
        <w:rPr>
          <w:rFonts w:ascii="Times New Roman" w:hAnsi="Times New Roman" w:cs="Times New Roman"/>
          <w:sz w:val="28"/>
          <w:szCs w:val="28"/>
        </w:rPr>
        <w:t>gerekmektedir.</w:t>
      </w:r>
      <w:proofErr w:type="gramEnd"/>
    </w:p>
    <w:p w:rsidR="00551BB2" w:rsidRPr="00951C57" w:rsidRDefault="00306FDC" w:rsidP="00B00B86">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 xml:space="preserve"> Sigorta Bilgi ve Gözetim Merkezi sigorta şirketlerinin statik IP uygulamasını hayata geçirip geçirmediğinin </w:t>
      </w:r>
      <w:r w:rsidR="00862615" w:rsidRPr="00951C57">
        <w:rPr>
          <w:rFonts w:ascii="Times New Roman" w:hAnsi="Times New Roman" w:cs="Times New Roman"/>
          <w:sz w:val="28"/>
          <w:szCs w:val="28"/>
        </w:rPr>
        <w:t>kontrolü</w:t>
      </w:r>
      <w:r w:rsidRPr="00951C57">
        <w:rPr>
          <w:rFonts w:ascii="Times New Roman" w:hAnsi="Times New Roman" w:cs="Times New Roman"/>
          <w:sz w:val="28"/>
          <w:szCs w:val="28"/>
        </w:rPr>
        <w:t xml:space="preserve"> konusunda yetkilidir.</w:t>
      </w:r>
    </w:p>
    <w:p w:rsidR="004A2595" w:rsidRPr="00951C57" w:rsidRDefault="001C0FD9" w:rsidP="00B00B86">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Sigorta acenteleri tarafından sigorta poliçelerinin düzenlenmesi ve diğer aracılık faaliyetleri için kullan</w:t>
      </w:r>
      <w:r w:rsidR="00551BB2" w:rsidRPr="00951C57">
        <w:rPr>
          <w:rFonts w:ascii="Times New Roman" w:hAnsi="Times New Roman" w:cs="Times New Roman"/>
          <w:sz w:val="28"/>
          <w:szCs w:val="28"/>
        </w:rPr>
        <w:t>ılan tüm bilişim programları asgari fiziki şart</w:t>
      </w:r>
      <w:r w:rsidR="00CA4BFD" w:rsidRPr="00951C57">
        <w:rPr>
          <w:rFonts w:ascii="Times New Roman" w:hAnsi="Times New Roman" w:cs="Times New Roman"/>
          <w:sz w:val="28"/>
          <w:szCs w:val="28"/>
        </w:rPr>
        <w:t>lar kapsamında tetkike tabidir.</w:t>
      </w:r>
    </w:p>
    <w:p w:rsidR="00CA4BFD" w:rsidRPr="00951C57" w:rsidRDefault="00CA4BFD" w:rsidP="00B00B86">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Cs/>
          <w:sz w:val="28"/>
          <w:szCs w:val="28"/>
        </w:rPr>
        <w:t xml:space="preserve">Acente, sigorta ettiren veya sigorta sözleşmesinden menfaat sağlayanlar tarafından yazılı veya elektronik iletişim araçlarıyla kendisine sigortaya ilişkin bir </w:t>
      </w:r>
      <w:proofErr w:type="gramStart"/>
      <w:r w:rsidRPr="00951C57">
        <w:rPr>
          <w:rFonts w:ascii="Times New Roman" w:hAnsi="Times New Roman" w:cs="Times New Roman"/>
          <w:bCs/>
          <w:sz w:val="28"/>
          <w:szCs w:val="28"/>
        </w:rPr>
        <w:t>şikayet</w:t>
      </w:r>
      <w:proofErr w:type="gramEnd"/>
      <w:r w:rsidRPr="00951C57">
        <w:rPr>
          <w:rFonts w:ascii="Times New Roman" w:hAnsi="Times New Roman" w:cs="Times New Roman"/>
          <w:bCs/>
          <w:sz w:val="28"/>
          <w:szCs w:val="28"/>
        </w:rPr>
        <w:t xml:space="preserve"> yöneltildiği takdirde konu hakkında başvuru sahibine sigortacıya nasıl başvurabileceğine ilişkin bilgi verir.</w:t>
      </w:r>
    </w:p>
    <w:p w:rsidR="00F27CDF" w:rsidRPr="00951C57" w:rsidRDefault="00F27CDF" w:rsidP="00B00B86">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Cs/>
          <w:sz w:val="28"/>
          <w:szCs w:val="28"/>
        </w:rPr>
      </w:pPr>
      <w:r w:rsidRPr="00951C57">
        <w:rPr>
          <w:rFonts w:ascii="Times New Roman" w:hAnsi="Times New Roman" w:cs="Times New Roman"/>
          <w:bCs/>
          <w:sz w:val="28"/>
          <w:szCs w:val="28"/>
        </w:rPr>
        <w:t>Acentenin sigorta şirketinde veya sigorta şirketinin acentede sahip olunan hissesi %10’u aşması halinde, acentenin sigorta ettiren veya sigorta sözleşmesinden menfaat sağlayanlara bu durumu açıklaması gerekmektedir.</w:t>
      </w:r>
      <w:r w:rsidR="003E4C42" w:rsidRPr="00951C57">
        <w:rPr>
          <w:rFonts w:ascii="Times New Roman" w:hAnsi="Times New Roman" w:cs="Times New Roman"/>
          <w:bCs/>
          <w:sz w:val="28"/>
          <w:szCs w:val="28"/>
        </w:rPr>
        <w:t xml:space="preserve"> Bilgilendirmenin yapıldığını ispat yükümlülüğü acenteye aittir.</w:t>
      </w:r>
    </w:p>
    <w:p w:rsidR="00551BB2" w:rsidRPr="00951C57" w:rsidRDefault="00551BB2" w:rsidP="001773FD">
      <w:pPr>
        <w:pStyle w:val="ListeParagraf"/>
        <w:tabs>
          <w:tab w:val="left" w:pos="993"/>
        </w:tabs>
        <w:spacing w:after="0" w:line="240" w:lineRule="auto"/>
        <w:ind w:left="567"/>
        <w:jc w:val="both"/>
        <w:rPr>
          <w:rFonts w:ascii="Times New Roman" w:hAnsi="Times New Roman" w:cs="Times New Roman"/>
          <w:b/>
          <w:sz w:val="28"/>
          <w:szCs w:val="28"/>
        </w:rPr>
      </w:pPr>
    </w:p>
    <w:p w:rsidR="005056E5" w:rsidRPr="00951C57" w:rsidRDefault="00523D5F" w:rsidP="0088270C">
      <w:pPr>
        <w:pStyle w:val="ListeParagraf"/>
        <w:numPr>
          <w:ilvl w:val="0"/>
          <w:numId w:val="15"/>
        </w:numPr>
        <w:tabs>
          <w:tab w:val="left" w:pos="851"/>
          <w:tab w:val="left" w:pos="993"/>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b/>
          <w:sz w:val="28"/>
          <w:szCs w:val="28"/>
        </w:rPr>
        <w:t xml:space="preserve">Başka faaliyet yasağı </w:t>
      </w:r>
    </w:p>
    <w:p w:rsidR="005056E5" w:rsidRPr="00951C57" w:rsidRDefault="005056E5" w:rsidP="001773FD">
      <w:pPr>
        <w:pStyle w:val="ListeParagraf"/>
        <w:spacing w:after="0" w:line="240" w:lineRule="auto"/>
        <w:ind w:left="1287"/>
        <w:rPr>
          <w:rFonts w:ascii="Times New Roman" w:hAnsi="Times New Roman" w:cs="Times New Roman"/>
          <w:b/>
          <w:sz w:val="28"/>
          <w:szCs w:val="28"/>
        </w:rPr>
      </w:pPr>
    </w:p>
    <w:p w:rsidR="005056E5" w:rsidRPr="00951C57" w:rsidRDefault="003D191A" w:rsidP="0088270C">
      <w:pPr>
        <w:pStyle w:val="ListeParagraf"/>
        <w:numPr>
          <w:ilvl w:val="1"/>
          <w:numId w:val="15"/>
        </w:numPr>
        <w:tabs>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 xml:space="preserve">Kanunun 23 üncü maddesinin onuncu fıkrasında geçen başka faaliyet yasağı, yalnızca acentelik faaliyeti yürütülen ticari işletme ile sınırlıdır. Bu kapsamda, acentelik faaliyeti yürütülecek </w:t>
      </w:r>
      <w:r w:rsidR="00986031" w:rsidRPr="00951C57">
        <w:rPr>
          <w:rFonts w:ascii="Times New Roman" w:hAnsi="Times New Roman" w:cs="Times New Roman"/>
          <w:sz w:val="28"/>
          <w:szCs w:val="28"/>
        </w:rPr>
        <w:t>ticari işletme</w:t>
      </w:r>
      <w:r w:rsidR="006125BD" w:rsidRPr="00951C57">
        <w:rPr>
          <w:rFonts w:ascii="Times New Roman" w:hAnsi="Times New Roman" w:cs="Times New Roman"/>
          <w:sz w:val="28"/>
          <w:szCs w:val="28"/>
        </w:rPr>
        <w:t>de;</w:t>
      </w:r>
      <w:r w:rsidR="00CE3497" w:rsidRPr="00951C57">
        <w:rPr>
          <w:rFonts w:ascii="Times New Roman" w:hAnsi="Times New Roman" w:cs="Times New Roman"/>
          <w:sz w:val="28"/>
          <w:szCs w:val="28"/>
        </w:rPr>
        <w:t xml:space="preserve"> </w:t>
      </w:r>
      <w:r w:rsidRPr="00951C57">
        <w:rPr>
          <w:rFonts w:ascii="Times New Roman" w:hAnsi="Times New Roman" w:cs="Times New Roman"/>
          <w:sz w:val="28"/>
          <w:szCs w:val="28"/>
        </w:rPr>
        <w:t xml:space="preserve">sigortacılık iş ve işlemleri ile sigortacılıkla bağlantılı diğer aracılık faaliyetleri </w:t>
      </w:r>
      <w:proofErr w:type="gramStart"/>
      <w:r w:rsidRPr="00951C57">
        <w:rPr>
          <w:rFonts w:ascii="Times New Roman" w:hAnsi="Times New Roman" w:cs="Times New Roman"/>
          <w:sz w:val="28"/>
          <w:szCs w:val="28"/>
        </w:rPr>
        <w:t>dışında</w:t>
      </w:r>
      <w:r w:rsidR="00E218C6" w:rsidRPr="00951C57">
        <w:rPr>
          <w:rFonts w:ascii="Times New Roman" w:hAnsi="Times New Roman" w:cs="Times New Roman"/>
          <w:sz w:val="28"/>
          <w:szCs w:val="28"/>
        </w:rPr>
        <w:t>ki</w:t>
      </w:r>
      <w:r w:rsidRPr="00951C57">
        <w:rPr>
          <w:rFonts w:ascii="Times New Roman" w:hAnsi="Times New Roman" w:cs="Times New Roman"/>
          <w:sz w:val="28"/>
          <w:szCs w:val="28"/>
        </w:rPr>
        <w:t xml:space="preserve">  bir</w:t>
      </w:r>
      <w:proofErr w:type="gramEnd"/>
      <w:r w:rsidRPr="00951C57">
        <w:rPr>
          <w:rFonts w:ascii="Times New Roman" w:hAnsi="Times New Roman" w:cs="Times New Roman"/>
          <w:sz w:val="28"/>
          <w:szCs w:val="28"/>
        </w:rPr>
        <w:t xml:space="preserve"> işle iştigal edilmesi mümkün </w:t>
      </w:r>
      <w:r w:rsidR="00E218C6" w:rsidRPr="00951C57">
        <w:rPr>
          <w:rFonts w:ascii="Times New Roman" w:hAnsi="Times New Roman" w:cs="Times New Roman"/>
          <w:sz w:val="28"/>
          <w:szCs w:val="28"/>
        </w:rPr>
        <w:t>değildir</w:t>
      </w:r>
      <w:r w:rsidRPr="00951C57">
        <w:rPr>
          <w:rFonts w:ascii="Times New Roman" w:hAnsi="Times New Roman" w:cs="Times New Roman"/>
          <w:sz w:val="28"/>
          <w:szCs w:val="28"/>
        </w:rPr>
        <w:t>.</w:t>
      </w:r>
    </w:p>
    <w:p w:rsidR="005056E5" w:rsidRPr="00951C57" w:rsidRDefault="003D191A" w:rsidP="008B2C0B">
      <w:pPr>
        <w:pStyle w:val="ListeParagraf"/>
        <w:numPr>
          <w:ilvl w:val="1"/>
          <w:numId w:val="15"/>
        </w:numPr>
        <w:tabs>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Sigortacılıkla bağlantılı diğer aracılık faaliyetleri; sigorta sözleşmesinin uzantısı olabilecek</w:t>
      </w:r>
      <w:r w:rsidR="00F60B3C" w:rsidRPr="00951C57">
        <w:rPr>
          <w:rFonts w:ascii="Times New Roman" w:hAnsi="Times New Roman" w:cs="Times New Roman"/>
          <w:sz w:val="28"/>
          <w:szCs w:val="28"/>
        </w:rPr>
        <w:t xml:space="preserve"> ve</w:t>
      </w:r>
      <w:r w:rsidRPr="00951C57">
        <w:rPr>
          <w:rFonts w:ascii="Times New Roman" w:hAnsi="Times New Roman" w:cs="Times New Roman"/>
          <w:sz w:val="28"/>
          <w:szCs w:val="28"/>
        </w:rPr>
        <w:t xml:space="preserve"> sigorta sözleşmelerinin hazırlanması, uygulanması ve sona ermesi aşamalarını tamamlayıcı nitelikteki diğer aracılık </w:t>
      </w:r>
      <w:r w:rsidR="00986031" w:rsidRPr="00951C57">
        <w:rPr>
          <w:rFonts w:ascii="Times New Roman" w:hAnsi="Times New Roman" w:cs="Times New Roman"/>
          <w:sz w:val="28"/>
          <w:szCs w:val="28"/>
        </w:rPr>
        <w:t>işlemleridir.</w:t>
      </w:r>
      <w:r w:rsidR="00F60B3C" w:rsidRPr="00951C57">
        <w:rPr>
          <w:rFonts w:ascii="Times New Roman" w:hAnsi="Times New Roman" w:cs="Times New Roman"/>
          <w:sz w:val="28"/>
          <w:szCs w:val="28"/>
        </w:rPr>
        <w:t xml:space="preserve"> Trafik takip işlemleri, fatura ödemelerine aracılık edilmesi vb. işler sigortacılıkla bağlantılı diğer aracılık faaliyetleri kapsamında değerlendirilmez.</w:t>
      </w:r>
    </w:p>
    <w:p w:rsidR="005056E5" w:rsidRPr="00951C57" w:rsidRDefault="005056E5" w:rsidP="001773FD">
      <w:pPr>
        <w:tabs>
          <w:tab w:val="left" w:pos="851"/>
        </w:tabs>
        <w:spacing w:after="0" w:line="240" w:lineRule="auto"/>
        <w:jc w:val="both"/>
        <w:rPr>
          <w:rFonts w:ascii="Times New Roman" w:hAnsi="Times New Roman" w:cs="Times New Roman"/>
          <w:b/>
          <w:sz w:val="28"/>
          <w:szCs w:val="28"/>
        </w:rPr>
      </w:pPr>
    </w:p>
    <w:p w:rsidR="007535F1" w:rsidRPr="00951C57" w:rsidRDefault="007535F1" w:rsidP="001773FD">
      <w:pPr>
        <w:pStyle w:val="ListeParagraf"/>
        <w:numPr>
          <w:ilvl w:val="0"/>
          <w:numId w:val="15"/>
        </w:numPr>
        <w:tabs>
          <w:tab w:val="left" w:pos="851"/>
          <w:tab w:val="left" w:pos="993"/>
        </w:tabs>
        <w:spacing w:after="0" w:line="240" w:lineRule="auto"/>
        <w:ind w:left="0" w:firstLine="567"/>
        <w:rPr>
          <w:rFonts w:ascii="Times New Roman" w:hAnsi="Times New Roman" w:cs="Times New Roman"/>
          <w:b/>
          <w:bCs/>
          <w:sz w:val="28"/>
          <w:szCs w:val="28"/>
        </w:rPr>
      </w:pPr>
      <w:r w:rsidRPr="00951C57">
        <w:rPr>
          <w:rFonts w:ascii="Times New Roman" w:hAnsi="Times New Roman" w:cs="Times New Roman"/>
          <w:b/>
          <w:sz w:val="28"/>
          <w:szCs w:val="28"/>
        </w:rPr>
        <w:t>Sigorta</w:t>
      </w:r>
      <w:r w:rsidRPr="00951C57">
        <w:rPr>
          <w:rFonts w:ascii="Times New Roman" w:hAnsi="Times New Roman" w:cs="Times New Roman"/>
          <w:b/>
          <w:bCs/>
          <w:sz w:val="28"/>
          <w:szCs w:val="28"/>
        </w:rPr>
        <w:t xml:space="preserve"> </w:t>
      </w:r>
      <w:r w:rsidRPr="00951C57">
        <w:rPr>
          <w:rFonts w:ascii="Times New Roman" w:hAnsi="Times New Roman" w:cs="Times New Roman"/>
          <w:b/>
          <w:sz w:val="28"/>
          <w:szCs w:val="28"/>
        </w:rPr>
        <w:t>acenteleri</w:t>
      </w:r>
      <w:r w:rsidRPr="00951C57">
        <w:rPr>
          <w:rFonts w:ascii="Times New Roman" w:hAnsi="Times New Roman" w:cs="Times New Roman"/>
          <w:b/>
          <w:bCs/>
          <w:sz w:val="28"/>
          <w:szCs w:val="28"/>
        </w:rPr>
        <w:t xml:space="preserve"> </w:t>
      </w:r>
      <w:r w:rsidRPr="00951C57">
        <w:rPr>
          <w:rFonts w:ascii="Times New Roman" w:hAnsi="Times New Roman" w:cs="Times New Roman"/>
          <w:b/>
          <w:sz w:val="28"/>
          <w:szCs w:val="28"/>
        </w:rPr>
        <w:t>tarafından</w:t>
      </w:r>
      <w:r w:rsidRPr="00951C57">
        <w:rPr>
          <w:rFonts w:ascii="Times New Roman" w:hAnsi="Times New Roman" w:cs="Times New Roman"/>
          <w:b/>
          <w:bCs/>
          <w:sz w:val="28"/>
          <w:szCs w:val="28"/>
        </w:rPr>
        <w:t xml:space="preserve"> </w:t>
      </w:r>
      <w:r w:rsidRPr="00951C57">
        <w:rPr>
          <w:rFonts w:ascii="Times New Roman" w:hAnsi="Times New Roman" w:cs="Times New Roman"/>
          <w:b/>
          <w:sz w:val="28"/>
          <w:szCs w:val="28"/>
        </w:rPr>
        <w:t>mesafeli</w:t>
      </w:r>
      <w:r w:rsidRPr="00951C57">
        <w:rPr>
          <w:rFonts w:ascii="Times New Roman" w:hAnsi="Times New Roman" w:cs="Times New Roman"/>
          <w:b/>
          <w:bCs/>
          <w:sz w:val="28"/>
          <w:szCs w:val="28"/>
        </w:rPr>
        <w:t xml:space="preserve"> akdedilen sigorta sözleşmeleri</w:t>
      </w:r>
    </w:p>
    <w:p w:rsidR="004F2A1B" w:rsidRPr="00951C57" w:rsidRDefault="004F2A1B" w:rsidP="001773FD">
      <w:pPr>
        <w:pStyle w:val="ListeParagraf"/>
        <w:tabs>
          <w:tab w:val="left" w:pos="851"/>
        </w:tabs>
        <w:spacing w:after="0" w:line="240" w:lineRule="auto"/>
        <w:ind w:left="567" w:firstLine="567"/>
        <w:jc w:val="both"/>
        <w:rPr>
          <w:rFonts w:ascii="Times New Roman" w:hAnsi="Times New Roman" w:cs="Times New Roman"/>
          <w:b/>
          <w:sz w:val="28"/>
          <w:szCs w:val="28"/>
        </w:rPr>
      </w:pPr>
    </w:p>
    <w:p w:rsidR="00242726" w:rsidRPr="00951C57" w:rsidRDefault="00A571B9" w:rsidP="00242726">
      <w:pPr>
        <w:pStyle w:val="ListeParagraf"/>
        <w:numPr>
          <w:ilvl w:val="1"/>
          <w:numId w:val="15"/>
        </w:numPr>
        <w:tabs>
          <w:tab w:val="left" w:pos="142"/>
          <w:tab w:val="left" w:pos="993"/>
          <w:tab w:val="left" w:pos="1134"/>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Sigorta acenteleri tarafından</w:t>
      </w:r>
      <w:r w:rsidR="00D42690" w:rsidRPr="00951C57">
        <w:rPr>
          <w:rFonts w:ascii="Times New Roman" w:hAnsi="Times New Roman" w:cs="Times New Roman"/>
          <w:sz w:val="28"/>
          <w:szCs w:val="28"/>
        </w:rPr>
        <w:t xml:space="preserve"> mesafeli </w:t>
      </w:r>
      <w:r w:rsidRPr="00951C57">
        <w:rPr>
          <w:rFonts w:ascii="Times New Roman" w:hAnsi="Times New Roman" w:cs="Times New Roman"/>
          <w:sz w:val="28"/>
          <w:szCs w:val="28"/>
        </w:rPr>
        <w:t xml:space="preserve">olarak </w:t>
      </w:r>
      <w:r w:rsidR="00FD203F" w:rsidRPr="00951C57">
        <w:rPr>
          <w:rFonts w:ascii="Times New Roman" w:hAnsi="Times New Roman" w:cs="Times New Roman"/>
          <w:sz w:val="28"/>
          <w:szCs w:val="28"/>
        </w:rPr>
        <w:t>aracılık edilen</w:t>
      </w:r>
      <w:r w:rsidRPr="00951C57">
        <w:rPr>
          <w:rFonts w:ascii="Times New Roman" w:hAnsi="Times New Roman" w:cs="Times New Roman"/>
          <w:sz w:val="28"/>
          <w:szCs w:val="28"/>
        </w:rPr>
        <w:t xml:space="preserve"> sigorta sözleşmelerine, </w:t>
      </w:r>
      <w:r w:rsidR="002668F2" w:rsidRPr="00951C57">
        <w:rPr>
          <w:rFonts w:ascii="Times New Roman" w:hAnsi="Times New Roman" w:cs="Times New Roman"/>
          <w:sz w:val="28"/>
          <w:szCs w:val="28"/>
        </w:rPr>
        <w:t>“</w:t>
      </w:r>
      <w:r w:rsidR="002668F2" w:rsidRPr="00951C57">
        <w:rPr>
          <w:rFonts w:ascii="Times New Roman" w:hAnsi="Times New Roman" w:cs="Times New Roman"/>
          <w:bCs/>
          <w:sz w:val="28"/>
          <w:szCs w:val="28"/>
        </w:rPr>
        <w:t xml:space="preserve">Sigortacılık Kapsamında Değerlendirilecek Faaliyetlere, Tüketici Lehine Yapılan Sigorta Sözleşmeleri İle Mesafeli Akdedilen Sigorta Sözleşmelerine İlişkin Yönetmelik” </w:t>
      </w:r>
      <w:r w:rsidRPr="00951C57">
        <w:rPr>
          <w:rFonts w:ascii="Times New Roman" w:hAnsi="Times New Roman" w:cs="Times New Roman"/>
          <w:bCs/>
          <w:sz w:val="28"/>
          <w:szCs w:val="28"/>
        </w:rPr>
        <w:t xml:space="preserve">hükümleri </w:t>
      </w:r>
      <w:r w:rsidR="00D64011" w:rsidRPr="00951C57">
        <w:rPr>
          <w:rFonts w:ascii="Times New Roman" w:hAnsi="Times New Roman" w:cs="Times New Roman"/>
          <w:bCs/>
          <w:sz w:val="28"/>
          <w:szCs w:val="28"/>
        </w:rPr>
        <w:t xml:space="preserve">ile anılan Yönetmeliğe ilişkin Genelge ve Sektör Duyuruları hükümleri </w:t>
      </w:r>
      <w:r w:rsidR="006B1FE6" w:rsidRPr="00951C57">
        <w:rPr>
          <w:rFonts w:ascii="Times New Roman" w:hAnsi="Times New Roman" w:cs="Times New Roman"/>
          <w:bCs/>
          <w:sz w:val="28"/>
          <w:szCs w:val="28"/>
        </w:rPr>
        <w:t>uygulanır.</w:t>
      </w:r>
    </w:p>
    <w:p w:rsidR="000D024F" w:rsidRPr="00951C57" w:rsidRDefault="00D64011" w:rsidP="009B447E">
      <w:pPr>
        <w:pStyle w:val="ListeParagraf"/>
        <w:numPr>
          <w:ilvl w:val="1"/>
          <w:numId w:val="15"/>
        </w:numPr>
        <w:tabs>
          <w:tab w:val="left" w:pos="142"/>
          <w:tab w:val="left" w:pos="993"/>
          <w:tab w:val="left" w:pos="1134"/>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bCs/>
          <w:sz w:val="28"/>
          <w:szCs w:val="28"/>
        </w:rPr>
        <w:lastRenderedPageBreak/>
        <w:t>Mesafeli sigorta sözleşmeleri acenteler bünyesinde kurulan çağrı merkezleri vasıtasıyla akdedilebileceği gibi acente tarafından dışarıdan çağrı hizmeti alımı yoluyla da akdedilebilir.</w:t>
      </w:r>
    </w:p>
    <w:p w:rsidR="00CA63C0" w:rsidRPr="00951C57" w:rsidRDefault="00DB5F56" w:rsidP="001773FD">
      <w:pPr>
        <w:pStyle w:val="ListeParagraf"/>
        <w:numPr>
          <w:ilvl w:val="1"/>
          <w:numId w:val="15"/>
        </w:numPr>
        <w:tabs>
          <w:tab w:val="left" w:pos="142"/>
          <w:tab w:val="left" w:pos="851"/>
          <w:tab w:val="left" w:pos="993"/>
          <w:tab w:val="left" w:pos="1134"/>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Acente</w:t>
      </w:r>
      <w:r w:rsidR="00242726" w:rsidRPr="00951C57">
        <w:rPr>
          <w:rFonts w:ascii="Times New Roman" w:hAnsi="Times New Roman" w:cs="Times New Roman"/>
          <w:sz w:val="28"/>
          <w:szCs w:val="28"/>
        </w:rPr>
        <w:t xml:space="preserve"> </w:t>
      </w:r>
      <w:r w:rsidRPr="00951C57">
        <w:rPr>
          <w:rFonts w:ascii="Times New Roman" w:hAnsi="Times New Roman" w:cs="Times New Roman"/>
          <w:bCs/>
          <w:sz w:val="28"/>
          <w:szCs w:val="28"/>
        </w:rPr>
        <w:t>tarafından dışarıdan çağrı hizmeti alındığı takdirde yapılan işlemlerden acente sorumludur.</w:t>
      </w:r>
    </w:p>
    <w:p w:rsidR="00D03020" w:rsidRPr="00951C57" w:rsidRDefault="00D03020" w:rsidP="001773FD">
      <w:pPr>
        <w:pStyle w:val="ListeParagraf"/>
        <w:tabs>
          <w:tab w:val="left" w:pos="851"/>
          <w:tab w:val="left" w:pos="1134"/>
        </w:tabs>
        <w:spacing w:after="0" w:line="240" w:lineRule="auto"/>
        <w:ind w:left="928"/>
        <w:jc w:val="both"/>
        <w:rPr>
          <w:rFonts w:ascii="Times New Roman" w:hAnsi="Times New Roman" w:cs="Times New Roman"/>
          <w:sz w:val="28"/>
          <w:szCs w:val="28"/>
        </w:rPr>
      </w:pPr>
    </w:p>
    <w:p w:rsidR="000D66BC" w:rsidRPr="00951C57" w:rsidRDefault="00085FC7" w:rsidP="001773FD">
      <w:pPr>
        <w:pStyle w:val="ListeParagraf"/>
        <w:numPr>
          <w:ilvl w:val="0"/>
          <w:numId w:val="15"/>
        </w:numPr>
        <w:tabs>
          <w:tab w:val="left" w:pos="851"/>
          <w:tab w:val="left" w:pos="993"/>
        </w:tabs>
        <w:spacing w:after="0" w:line="240" w:lineRule="auto"/>
        <w:ind w:left="567" w:firstLine="0"/>
        <w:jc w:val="both"/>
        <w:rPr>
          <w:rFonts w:ascii="Times New Roman" w:hAnsi="Times New Roman" w:cs="Times New Roman"/>
          <w:b/>
          <w:sz w:val="28"/>
          <w:szCs w:val="28"/>
        </w:rPr>
      </w:pPr>
      <w:r w:rsidRPr="00951C57">
        <w:rPr>
          <w:rFonts w:ascii="Times New Roman" w:hAnsi="Times New Roman" w:cs="Times New Roman"/>
          <w:b/>
          <w:sz w:val="28"/>
          <w:szCs w:val="28"/>
        </w:rPr>
        <w:t xml:space="preserve">Kayıt tutma usulleri </w:t>
      </w:r>
    </w:p>
    <w:p w:rsidR="00085FC7" w:rsidRPr="00951C57" w:rsidRDefault="00085FC7" w:rsidP="0015152F">
      <w:pPr>
        <w:pStyle w:val="ListeParagraf"/>
        <w:keepNext/>
        <w:tabs>
          <w:tab w:val="left" w:pos="0"/>
          <w:tab w:val="left" w:pos="142"/>
          <w:tab w:val="left" w:pos="1134"/>
        </w:tabs>
        <w:spacing w:after="0" w:line="240" w:lineRule="auto"/>
        <w:ind w:left="567"/>
        <w:jc w:val="both"/>
        <w:outlineLvl w:val="1"/>
        <w:rPr>
          <w:rFonts w:ascii="Times New Roman" w:eastAsia="Times New Roman" w:hAnsi="Times New Roman" w:cs="Times New Roman"/>
          <w:bCs/>
          <w:iCs/>
          <w:sz w:val="28"/>
          <w:szCs w:val="28"/>
          <w:lang w:eastAsia="tr-TR"/>
        </w:rPr>
      </w:pPr>
    </w:p>
    <w:p w:rsidR="00085FC7" w:rsidRPr="00951C57" w:rsidRDefault="006125BD" w:rsidP="001773FD">
      <w:pPr>
        <w:pStyle w:val="ListeParagraf"/>
        <w:keepNext/>
        <w:numPr>
          <w:ilvl w:val="1"/>
          <w:numId w:val="15"/>
        </w:numPr>
        <w:tabs>
          <w:tab w:val="left" w:pos="0"/>
          <w:tab w:val="left" w:pos="142"/>
          <w:tab w:val="left" w:pos="1134"/>
        </w:tabs>
        <w:spacing w:after="0" w:line="240" w:lineRule="auto"/>
        <w:ind w:left="0" w:firstLine="567"/>
        <w:jc w:val="both"/>
        <w:outlineLvl w:val="1"/>
        <w:rPr>
          <w:rFonts w:ascii="Times New Roman" w:eastAsia="Times New Roman" w:hAnsi="Times New Roman" w:cs="Times New Roman"/>
          <w:bCs/>
          <w:iCs/>
          <w:sz w:val="28"/>
          <w:szCs w:val="28"/>
          <w:lang w:eastAsia="tr-TR"/>
        </w:rPr>
      </w:pPr>
      <w:r w:rsidRPr="00951C57">
        <w:rPr>
          <w:rFonts w:ascii="Times New Roman" w:hAnsi="Times New Roman" w:cs="Times New Roman"/>
          <w:sz w:val="28"/>
          <w:szCs w:val="28"/>
        </w:rPr>
        <w:t xml:space="preserve">Mevcut </w:t>
      </w:r>
      <w:r w:rsidR="00085FC7" w:rsidRPr="00951C57">
        <w:rPr>
          <w:rFonts w:ascii="Times New Roman" w:hAnsi="Times New Roman" w:cs="Times New Roman"/>
          <w:sz w:val="28"/>
          <w:szCs w:val="28"/>
        </w:rPr>
        <w:t xml:space="preserve">Sigortacılık mevzuatında </w:t>
      </w:r>
      <w:proofErr w:type="spellStart"/>
      <w:r w:rsidR="00085FC7" w:rsidRPr="00951C57">
        <w:rPr>
          <w:rFonts w:ascii="Times New Roman" w:hAnsi="Times New Roman" w:cs="Times New Roman"/>
          <w:sz w:val="28"/>
          <w:szCs w:val="28"/>
        </w:rPr>
        <w:t>rejistro</w:t>
      </w:r>
      <w:proofErr w:type="spellEnd"/>
      <w:r w:rsidR="00085FC7" w:rsidRPr="00951C57">
        <w:rPr>
          <w:rFonts w:ascii="Times New Roman" w:hAnsi="Times New Roman" w:cs="Times New Roman"/>
          <w:sz w:val="28"/>
          <w:szCs w:val="28"/>
        </w:rPr>
        <w:t xml:space="preserve"> defteri (üretim takip defteri) ve tahsilat defterlerinin tutulması için bir zorunluluk bulunmamaktadır. </w:t>
      </w:r>
    </w:p>
    <w:p w:rsidR="00085FC7" w:rsidRPr="00951C57" w:rsidRDefault="00085FC7" w:rsidP="001773FD">
      <w:pPr>
        <w:pStyle w:val="ListeParagraf"/>
        <w:keepNext/>
        <w:numPr>
          <w:ilvl w:val="1"/>
          <w:numId w:val="15"/>
        </w:numPr>
        <w:tabs>
          <w:tab w:val="left" w:pos="0"/>
          <w:tab w:val="left" w:pos="142"/>
          <w:tab w:val="left" w:pos="1134"/>
        </w:tabs>
        <w:spacing w:after="0" w:line="240" w:lineRule="auto"/>
        <w:ind w:left="0" w:firstLine="567"/>
        <w:jc w:val="both"/>
        <w:outlineLvl w:val="1"/>
        <w:rPr>
          <w:rFonts w:ascii="Times New Roman" w:eastAsia="Times New Roman" w:hAnsi="Times New Roman" w:cs="Times New Roman"/>
          <w:bCs/>
          <w:iCs/>
          <w:sz w:val="28"/>
          <w:szCs w:val="28"/>
          <w:lang w:eastAsia="tr-TR"/>
        </w:rPr>
      </w:pPr>
      <w:r w:rsidRPr="00951C57">
        <w:rPr>
          <w:rFonts w:ascii="Times New Roman" w:hAnsi="Times New Roman" w:cs="Times New Roman"/>
          <w:sz w:val="28"/>
          <w:szCs w:val="28"/>
        </w:rPr>
        <w:t xml:space="preserve">Sigorta acentelerinin birden fazla sigorta şirketi ile çalışabildikleri ve birden fazla </w:t>
      </w:r>
      <w:proofErr w:type="gramStart"/>
      <w:r w:rsidRPr="00951C57">
        <w:rPr>
          <w:rFonts w:ascii="Times New Roman" w:hAnsi="Times New Roman" w:cs="Times New Roman"/>
          <w:sz w:val="28"/>
          <w:szCs w:val="28"/>
        </w:rPr>
        <w:t>branşta</w:t>
      </w:r>
      <w:proofErr w:type="gramEnd"/>
      <w:r w:rsidRPr="00951C57">
        <w:rPr>
          <w:rFonts w:ascii="Times New Roman" w:hAnsi="Times New Roman" w:cs="Times New Roman"/>
          <w:sz w:val="28"/>
          <w:szCs w:val="28"/>
        </w:rPr>
        <w:t xml:space="preserve"> faaliyet gösterdikleri dikkate alınarak; yapılan işlemlerin (poliçe tanzimi ve prim üretimi, poliçe veya prim iptali, tahsilat, sigorta şirketine veya sigorta ettirene ödeme </w:t>
      </w:r>
      <w:proofErr w:type="spellStart"/>
      <w:r w:rsidRPr="00951C57">
        <w:rPr>
          <w:rFonts w:ascii="Times New Roman" w:hAnsi="Times New Roman" w:cs="Times New Roman"/>
          <w:sz w:val="28"/>
          <w:szCs w:val="28"/>
        </w:rPr>
        <w:t>v.s</w:t>
      </w:r>
      <w:proofErr w:type="spellEnd"/>
      <w:r w:rsidRPr="00951C57">
        <w:rPr>
          <w:rFonts w:ascii="Times New Roman" w:hAnsi="Times New Roman" w:cs="Times New Roman"/>
          <w:sz w:val="28"/>
          <w:szCs w:val="28"/>
        </w:rPr>
        <w:t xml:space="preserve">.) tamamının, işlemi gerçekleştiren ve ilk işlem ile düzeltme/değiştirme/silme işlemleri tarih ve zamanı itibariyle ilgili sigorta şirketlerinin ya da acentelerin kendilerinin bilgi işlem sistemleri üzerinden takip edilebiliyor olması </w:t>
      </w:r>
      <w:r w:rsidR="000128FF" w:rsidRPr="00951C57">
        <w:rPr>
          <w:rFonts w:ascii="Times New Roman" w:hAnsi="Times New Roman" w:cs="Times New Roman"/>
          <w:sz w:val="28"/>
          <w:szCs w:val="28"/>
        </w:rPr>
        <w:t>gerekir.</w:t>
      </w:r>
      <w:r w:rsidRPr="00951C57">
        <w:rPr>
          <w:rFonts w:ascii="Times New Roman" w:hAnsi="Times New Roman" w:cs="Times New Roman"/>
          <w:sz w:val="28"/>
          <w:szCs w:val="28"/>
        </w:rPr>
        <w:t xml:space="preserve"> </w:t>
      </w:r>
    </w:p>
    <w:p w:rsidR="000337FC" w:rsidRPr="00951C57" w:rsidRDefault="000337FC" w:rsidP="00C92C9A">
      <w:pPr>
        <w:tabs>
          <w:tab w:val="left" w:pos="851"/>
        </w:tabs>
        <w:spacing w:after="0" w:line="240" w:lineRule="auto"/>
        <w:ind w:firstLine="567"/>
        <w:jc w:val="both"/>
        <w:rPr>
          <w:rFonts w:ascii="Times New Roman" w:hAnsi="Times New Roman" w:cs="Times New Roman"/>
          <w:sz w:val="28"/>
          <w:szCs w:val="28"/>
        </w:rPr>
      </w:pPr>
    </w:p>
    <w:p w:rsidR="008B7568" w:rsidRPr="00951C57" w:rsidRDefault="008B7568" w:rsidP="00F30891">
      <w:pPr>
        <w:pStyle w:val="ListeParagraf"/>
        <w:numPr>
          <w:ilvl w:val="0"/>
          <w:numId w:val="15"/>
        </w:numPr>
        <w:tabs>
          <w:tab w:val="left" w:pos="851"/>
          <w:tab w:val="left" w:pos="993"/>
        </w:tabs>
        <w:spacing w:after="0" w:line="240" w:lineRule="auto"/>
        <w:ind w:left="0" w:firstLine="567"/>
        <w:jc w:val="both"/>
        <w:rPr>
          <w:rFonts w:ascii="Times New Roman" w:hAnsi="Times New Roman" w:cs="Times New Roman"/>
          <w:b/>
          <w:sz w:val="28"/>
          <w:szCs w:val="28"/>
        </w:rPr>
      </w:pPr>
      <w:r w:rsidRPr="00951C57">
        <w:rPr>
          <w:rFonts w:ascii="Times New Roman" w:hAnsi="Times New Roman" w:cs="Times New Roman"/>
          <w:sz w:val="28"/>
          <w:szCs w:val="28"/>
        </w:rPr>
        <w:t xml:space="preserve"> </w:t>
      </w:r>
      <w:r w:rsidR="00035630" w:rsidRPr="00951C57">
        <w:rPr>
          <w:rFonts w:ascii="Times New Roman" w:hAnsi="Times New Roman" w:cs="Times New Roman"/>
          <w:b/>
          <w:sz w:val="28"/>
          <w:szCs w:val="28"/>
        </w:rPr>
        <w:t>Faaliyetin geçici olarak durdurulması ile uygunluk belgesinin iptali</w:t>
      </w:r>
    </w:p>
    <w:p w:rsidR="00C92C9A" w:rsidRPr="00951C57" w:rsidRDefault="00C92C9A" w:rsidP="00C92C9A">
      <w:pPr>
        <w:pStyle w:val="ListeParagraf"/>
        <w:tabs>
          <w:tab w:val="left" w:pos="851"/>
          <w:tab w:val="left" w:pos="993"/>
        </w:tabs>
        <w:spacing w:after="0" w:line="240" w:lineRule="auto"/>
        <w:ind w:left="567"/>
        <w:jc w:val="both"/>
        <w:rPr>
          <w:rFonts w:ascii="Times New Roman" w:hAnsi="Times New Roman" w:cs="Times New Roman"/>
          <w:sz w:val="28"/>
          <w:szCs w:val="28"/>
        </w:rPr>
      </w:pPr>
    </w:p>
    <w:p w:rsidR="00C92C9A" w:rsidRPr="00951C57" w:rsidRDefault="008B7568" w:rsidP="00C92C9A">
      <w:pPr>
        <w:pStyle w:val="ListeParagraf"/>
        <w:numPr>
          <w:ilvl w:val="1"/>
          <w:numId w:val="15"/>
        </w:numPr>
        <w:tabs>
          <w:tab w:val="left" w:pos="851"/>
          <w:tab w:val="left" w:pos="1134"/>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 xml:space="preserve">Yönetmeliğin 24 üncü maddesinde Müsteşarlıkça yapılan izleme, inceleme veya denetim sonucunda, Kanunun 32 </w:t>
      </w:r>
      <w:proofErr w:type="spellStart"/>
      <w:r w:rsidRPr="00951C57">
        <w:rPr>
          <w:rFonts w:ascii="Times New Roman" w:hAnsi="Times New Roman" w:cs="Times New Roman"/>
          <w:sz w:val="28"/>
          <w:szCs w:val="28"/>
        </w:rPr>
        <w:t>nci</w:t>
      </w:r>
      <w:proofErr w:type="spellEnd"/>
      <w:r w:rsidRPr="00951C57">
        <w:rPr>
          <w:rFonts w:ascii="Times New Roman" w:hAnsi="Times New Roman" w:cs="Times New Roman"/>
          <w:sz w:val="28"/>
          <w:szCs w:val="28"/>
        </w:rPr>
        <w:t xml:space="preserve"> maddesi hükümlerine uygun hareket etmediği tespit edilen</w:t>
      </w:r>
      <w:r w:rsidR="00C92C9A" w:rsidRPr="00951C57">
        <w:rPr>
          <w:rFonts w:ascii="Times New Roman" w:hAnsi="Times New Roman" w:cs="Times New Roman"/>
          <w:sz w:val="28"/>
          <w:szCs w:val="28"/>
        </w:rPr>
        <w:t xml:space="preserve">lerin </w:t>
      </w:r>
      <w:r w:rsidRPr="00951C57">
        <w:rPr>
          <w:rFonts w:ascii="Times New Roman" w:hAnsi="Times New Roman" w:cs="Times New Roman"/>
          <w:sz w:val="28"/>
          <w:szCs w:val="28"/>
        </w:rPr>
        <w:t>faaliyetinin geçici olarak durdurulması veya faaliyetin geçici olarak durdurulması sonrasında faaliyete başlangıcı takip eden bir yıl içinde aynı fiili tekrar e</w:t>
      </w:r>
      <w:r w:rsidR="00DD656B" w:rsidRPr="00951C57">
        <w:rPr>
          <w:rFonts w:ascii="Times New Roman" w:hAnsi="Times New Roman" w:cs="Times New Roman"/>
          <w:sz w:val="28"/>
          <w:szCs w:val="28"/>
        </w:rPr>
        <w:t>tmeleri</w:t>
      </w:r>
      <w:r w:rsidRPr="00951C57">
        <w:rPr>
          <w:rFonts w:ascii="Times New Roman" w:hAnsi="Times New Roman" w:cs="Times New Roman"/>
          <w:sz w:val="28"/>
          <w:szCs w:val="28"/>
        </w:rPr>
        <w:t xml:space="preserve"> halinde</w:t>
      </w:r>
      <w:r w:rsidRPr="00951C57">
        <w:rPr>
          <w:rFonts w:ascii="Times New Roman" w:hAnsi="Times New Roman" w:cs="Times New Roman"/>
          <w:b/>
          <w:sz w:val="28"/>
          <w:szCs w:val="28"/>
        </w:rPr>
        <w:t xml:space="preserve"> </w:t>
      </w:r>
      <w:r w:rsidRPr="00951C57">
        <w:rPr>
          <w:rFonts w:ascii="Times New Roman" w:hAnsi="Times New Roman" w:cs="Times New Roman"/>
          <w:sz w:val="28"/>
          <w:szCs w:val="28"/>
        </w:rPr>
        <w:t xml:space="preserve">uygunluk belgesinin Müsteşarlıkça iptali düzenlenmiştir. </w:t>
      </w:r>
    </w:p>
    <w:p w:rsidR="008B7568" w:rsidRPr="00951C57" w:rsidRDefault="00570853" w:rsidP="00C92C9A">
      <w:pPr>
        <w:pStyle w:val="ListeParagraf"/>
        <w:numPr>
          <w:ilvl w:val="1"/>
          <w:numId w:val="15"/>
        </w:numPr>
        <w:tabs>
          <w:tab w:val="left" w:pos="851"/>
          <w:tab w:val="left" w:pos="1134"/>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Bu maddenin birinci fıkrasındaki süreç, teknik personel için de geçerli olduğundan</w:t>
      </w:r>
      <w:r w:rsidR="00C92C9A" w:rsidRPr="00951C57">
        <w:rPr>
          <w:rFonts w:ascii="Times New Roman" w:hAnsi="Times New Roman" w:cs="Times New Roman"/>
          <w:sz w:val="28"/>
          <w:szCs w:val="28"/>
        </w:rPr>
        <w:t>, sigorta acentesi ile t</w:t>
      </w:r>
      <w:r w:rsidR="008B7568" w:rsidRPr="00951C57">
        <w:rPr>
          <w:rFonts w:ascii="Times New Roman" w:hAnsi="Times New Roman" w:cs="Times New Roman"/>
          <w:sz w:val="28"/>
          <w:szCs w:val="28"/>
        </w:rPr>
        <w:t>eknik personel</w:t>
      </w:r>
      <w:r w:rsidR="00C92C9A" w:rsidRPr="00951C57">
        <w:rPr>
          <w:rFonts w:ascii="Times New Roman" w:hAnsi="Times New Roman" w:cs="Times New Roman"/>
          <w:sz w:val="28"/>
          <w:szCs w:val="28"/>
        </w:rPr>
        <w:t xml:space="preserve"> arasında düzenlenen </w:t>
      </w:r>
      <w:r w:rsidR="00E03454" w:rsidRPr="00951C57">
        <w:rPr>
          <w:rFonts w:ascii="Times New Roman" w:hAnsi="Times New Roman" w:cs="Times New Roman"/>
          <w:sz w:val="28"/>
          <w:szCs w:val="28"/>
        </w:rPr>
        <w:t xml:space="preserve">iş </w:t>
      </w:r>
      <w:r w:rsidR="00C92C9A" w:rsidRPr="00951C57">
        <w:rPr>
          <w:rFonts w:ascii="Times New Roman" w:hAnsi="Times New Roman" w:cs="Times New Roman"/>
          <w:sz w:val="28"/>
          <w:szCs w:val="28"/>
        </w:rPr>
        <w:t>sözleşmeler</w:t>
      </w:r>
      <w:r w:rsidR="005C4F5B" w:rsidRPr="00951C57">
        <w:rPr>
          <w:rFonts w:ascii="Times New Roman" w:hAnsi="Times New Roman" w:cs="Times New Roman"/>
          <w:sz w:val="28"/>
          <w:szCs w:val="28"/>
        </w:rPr>
        <w:t>in</w:t>
      </w:r>
      <w:r w:rsidR="00C92C9A" w:rsidRPr="00951C57">
        <w:rPr>
          <w:rFonts w:ascii="Times New Roman" w:hAnsi="Times New Roman" w:cs="Times New Roman"/>
          <w:sz w:val="28"/>
          <w:szCs w:val="28"/>
        </w:rPr>
        <w:t>d</w:t>
      </w:r>
      <w:r w:rsidR="00D26552" w:rsidRPr="00951C57">
        <w:rPr>
          <w:rFonts w:ascii="Times New Roman" w:hAnsi="Times New Roman" w:cs="Times New Roman"/>
          <w:sz w:val="28"/>
          <w:szCs w:val="28"/>
        </w:rPr>
        <w:t>e mevzuata aykırı</w:t>
      </w:r>
      <w:r w:rsidR="00DD656B" w:rsidRPr="00951C57">
        <w:rPr>
          <w:rFonts w:ascii="Times New Roman" w:hAnsi="Times New Roman" w:cs="Times New Roman"/>
          <w:sz w:val="28"/>
          <w:szCs w:val="28"/>
        </w:rPr>
        <w:t xml:space="preserve"> f</w:t>
      </w:r>
      <w:r w:rsidR="000D70EF" w:rsidRPr="00951C57">
        <w:rPr>
          <w:rFonts w:ascii="Times New Roman" w:hAnsi="Times New Roman" w:cs="Times New Roman"/>
          <w:sz w:val="28"/>
          <w:szCs w:val="28"/>
        </w:rPr>
        <w:t>iiller</w:t>
      </w:r>
      <w:r w:rsidR="000128FF" w:rsidRPr="00951C57">
        <w:rPr>
          <w:rFonts w:ascii="Times New Roman" w:hAnsi="Times New Roman" w:cs="Times New Roman"/>
          <w:sz w:val="28"/>
          <w:szCs w:val="28"/>
        </w:rPr>
        <w:t>, sözleşmen</w:t>
      </w:r>
      <w:r w:rsidR="00BA1BE7" w:rsidRPr="00951C57">
        <w:rPr>
          <w:rFonts w:ascii="Times New Roman" w:hAnsi="Times New Roman" w:cs="Times New Roman"/>
          <w:sz w:val="28"/>
          <w:szCs w:val="28"/>
        </w:rPr>
        <w:t>in taraflarının hak ve menfaatlerini teh</w:t>
      </w:r>
      <w:r w:rsidR="00DD656B" w:rsidRPr="00951C57">
        <w:rPr>
          <w:rFonts w:ascii="Times New Roman" w:hAnsi="Times New Roman" w:cs="Times New Roman"/>
          <w:sz w:val="28"/>
          <w:szCs w:val="28"/>
        </w:rPr>
        <w:t>likeye atabilecek davranışlar ile</w:t>
      </w:r>
      <w:r w:rsidR="00BA1BE7" w:rsidRPr="00951C57">
        <w:rPr>
          <w:rFonts w:ascii="Times New Roman" w:hAnsi="Times New Roman" w:cs="Times New Roman"/>
          <w:sz w:val="28"/>
          <w:szCs w:val="28"/>
        </w:rPr>
        <w:t xml:space="preserve"> </w:t>
      </w:r>
      <w:r w:rsidR="00DD656B" w:rsidRPr="00951C57">
        <w:rPr>
          <w:rFonts w:ascii="Times New Roman" w:hAnsi="Times New Roman" w:cs="Times New Roman"/>
          <w:sz w:val="28"/>
          <w:szCs w:val="28"/>
        </w:rPr>
        <w:t>mevzuata aykırılığın sonuçlarına</w:t>
      </w:r>
      <w:r w:rsidR="00066ED0" w:rsidRPr="00951C57">
        <w:rPr>
          <w:rFonts w:ascii="Times New Roman" w:hAnsi="Times New Roman" w:cs="Times New Roman"/>
          <w:sz w:val="28"/>
          <w:szCs w:val="28"/>
        </w:rPr>
        <w:t xml:space="preserve"> </w:t>
      </w:r>
      <w:r w:rsidR="00C6155A" w:rsidRPr="00951C57">
        <w:rPr>
          <w:rFonts w:ascii="Times New Roman" w:hAnsi="Times New Roman" w:cs="Times New Roman"/>
          <w:sz w:val="28"/>
          <w:szCs w:val="28"/>
        </w:rPr>
        <w:t xml:space="preserve">da </w:t>
      </w:r>
      <w:r w:rsidR="00DD656B" w:rsidRPr="00951C57">
        <w:rPr>
          <w:rFonts w:ascii="Times New Roman" w:hAnsi="Times New Roman" w:cs="Times New Roman"/>
          <w:sz w:val="28"/>
          <w:szCs w:val="28"/>
        </w:rPr>
        <w:t>yer verilmesi</w:t>
      </w:r>
      <w:r w:rsidR="00C92C9A" w:rsidRPr="00951C57">
        <w:rPr>
          <w:rFonts w:ascii="Times New Roman" w:hAnsi="Times New Roman" w:cs="Times New Roman"/>
          <w:sz w:val="28"/>
          <w:szCs w:val="28"/>
        </w:rPr>
        <w:t xml:space="preserve"> </w:t>
      </w:r>
      <w:r w:rsidR="00C6155A" w:rsidRPr="00951C57">
        <w:rPr>
          <w:rFonts w:ascii="Times New Roman" w:hAnsi="Times New Roman" w:cs="Times New Roman"/>
          <w:sz w:val="28"/>
          <w:szCs w:val="28"/>
        </w:rPr>
        <w:t xml:space="preserve">yararlı olacaktır. </w:t>
      </w:r>
      <w:r w:rsidR="00C92C9A" w:rsidRPr="00951C57">
        <w:rPr>
          <w:rFonts w:ascii="Times New Roman" w:hAnsi="Times New Roman" w:cs="Times New Roman"/>
          <w:sz w:val="28"/>
          <w:szCs w:val="28"/>
        </w:rPr>
        <w:t xml:space="preserve"> </w:t>
      </w:r>
    </w:p>
    <w:p w:rsidR="00420A3F" w:rsidRPr="00951C57" w:rsidRDefault="00420A3F" w:rsidP="002D3132">
      <w:pPr>
        <w:tabs>
          <w:tab w:val="left" w:pos="851"/>
          <w:tab w:val="left" w:pos="1134"/>
        </w:tabs>
        <w:spacing w:after="0" w:line="240" w:lineRule="auto"/>
        <w:jc w:val="both"/>
        <w:rPr>
          <w:rFonts w:ascii="Times New Roman" w:hAnsi="Times New Roman" w:cs="Times New Roman"/>
          <w:sz w:val="28"/>
          <w:szCs w:val="28"/>
        </w:rPr>
      </w:pPr>
    </w:p>
    <w:p w:rsidR="00304A8E" w:rsidRPr="00951C57" w:rsidRDefault="00304A8E" w:rsidP="002D3132">
      <w:pPr>
        <w:tabs>
          <w:tab w:val="left" w:pos="851"/>
          <w:tab w:val="left" w:pos="1134"/>
        </w:tabs>
        <w:spacing w:after="0" w:line="240" w:lineRule="auto"/>
        <w:jc w:val="both"/>
        <w:rPr>
          <w:rFonts w:ascii="Times New Roman" w:hAnsi="Times New Roman" w:cs="Times New Roman"/>
          <w:sz w:val="28"/>
          <w:szCs w:val="28"/>
        </w:rPr>
      </w:pPr>
    </w:p>
    <w:p w:rsidR="00304A8E" w:rsidRPr="00951C57" w:rsidRDefault="00304A8E" w:rsidP="002D3132">
      <w:pPr>
        <w:tabs>
          <w:tab w:val="left" w:pos="851"/>
          <w:tab w:val="left" w:pos="1134"/>
        </w:tabs>
        <w:spacing w:after="0" w:line="240" w:lineRule="auto"/>
        <w:jc w:val="both"/>
        <w:rPr>
          <w:rFonts w:ascii="Times New Roman" w:hAnsi="Times New Roman" w:cs="Times New Roman"/>
          <w:sz w:val="28"/>
          <w:szCs w:val="28"/>
        </w:rPr>
      </w:pPr>
    </w:p>
    <w:p w:rsidR="00206242" w:rsidRPr="00951C57" w:rsidRDefault="00C427FE" w:rsidP="00F30891">
      <w:pPr>
        <w:pStyle w:val="ListeParagraf"/>
        <w:numPr>
          <w:ilvl w:val="0"/>
          <w:numId w:val="15"/>
        </w:numPr>
        <w:tabs>
          <w:tab w:val="left" w:pos="993"/>
        </w:tabs>
        <w:spacing w:after="0" w:line="240" w:lineRule="auto"/>
        <w:ind w:left="0" w:firstLine="567"/>
        <w:rPr>
          <w:rFonts w:ascii="Times New Roman" w:hAnsi="Times New Roman" w:cs="Times New Roman"/>
          <w:b/>
          <w:sz w:val="28"/>
          <w:szCs w:val="28"/>
        </w:rPr>
      </w:pPr>
      <w:r w:rsidRPr="00951C57">
        <w:rPr>
          <w:rFonts w:ascii="Times New Roman" w:hAnsi="Times New Roman" w:cs="Times New Roman"/>
          <w:b/>
          <w:sz w:val="28"/>
          <w:szCs w:val="28"/>
        </w:rPr>
        <w:t>Yürürlükten kaldırılan düzenlemeler</w:t>
      </w:r>
    </w:p>
    <w:p w:rsidR="00862560" w:rsidRPr="00951C57" w:rsidRDefault="002A249C" w:rsidP="001773FD">
      <w:pPr>
        <w:pStyle w:val="ListeParagraf"/>
        <w:numPr>
          <w:ilvl w:val="1"/>
          <w:numId w:val="15"/>
        </w:numPr>
        <w:tabs>
          <w:tab w:val="left" w:pos="1134"/>
        </w:tabs>
        <w:spacing w:after="0" w:line="240" w:lineRule="auto"/>
        <w:ind w:left="0" w:firstLine="567"/>
        <w:jc w:val="both"/>
        <w:rPr>
          <w:rFonts w:ascii="Times New Roman" w:hAnsi="Times New Roman" w:cs="Times New Roman"/>
          <w:sz w:val="28"/>
          <w:szCs w:val="28"/>
        </w:rPr>
      </w:pPr>
      <w:r w:rsidRPr="00951C57">
        <w:rPr>
          <w:rFonts w:ascii="Times New Roman" w:hAnsi="Times New Roman" w:cs="Times New Roman"/>
          <w:sz w:val="28"/>
          <w:szCs w:val="28"/>
        </w:rPr>
        <w:t>2014/8, 2014/14, 2015/5, 2015/43, 2015/51 ve 2016/15 sayılı Genelgeler ile 2014/30, 2015/4, 2015/10, 2015/16 ve 2015/31 sayılı Sektör Duyuruları yürü</w:t>
      </w:r>
      <w:r w:rsidR="002F4258" w:rsidRPr="00951C57">
        <w:rPr>
          <w:rFonts w:ascii="Times New Roman" w:hAnsi="Times New Roman" w:cs="Times New Roman"/>
          <w:sz w:val="28"/>
          <w:szCs w:val="28"/>
        </w:rPr>
        <w:t>r</w:t>
      </w:r>
      <w:r w:rsidRPr="00951C57">
        <w:rPr>
          <w:rFonts w:ascii="Times New Roman" w:hAnsi="Times New Roman" w:cs="Times New Roman"/>
          <w:sz w:val="28"/>
          <w:szCs w:val="28"/>
        </w:rPr>
        <w:t>lükten kaldırılmıştır.</w:t>
      </w:r>
    </w:p>
    <w:p w:rsidR="00250561" w:rsidRPr="00951C57" w:rsidRDefault="00250561" w:rsidP="001773FD">
      <w:pPr>
        <w:tabs>
          <w:tab w:val="left" w:pos="1134"/>
        </w:tabs>
        <w:spacing w:after="0" w:line="240" w:lineRule="auto"/>
        <w:jc w:val="both"/>
        <w:rPr>
          <w:rFonts w:ascii="Times New Roman" w:hAnsi="Times New Roman" w:cs="Times New Roman"/>
          <w:sz w:val="28"/>
          <w:szCs w:val="28"/>
        </w:rPr>
      </w:pPr>
    </w:p>
    <w:sectPr w:rsidR="00250561" w:rsidRPr="00951C57" w:rsidSect="00250561">
      <w:footerReference w:type="default" r:id="rId9"/>
      <w:pgSz w:w="11906" w:h="16838"/>
      <w:pgMar w:top="993" w:right="1417" w:bottom="142"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6F6" w:rsidRDefault="001F46F6" w:rsidP="006B58E7">
      <w:pPr>
        <w:spacing w:after="0" w:line="240" w:lineRule="auto"/>
      </w:pPr>
      <w:r>
        <w:separator/>
      </w:r>
    </w:p>
  </w:endnote>
  <w:endnote w:type="continuationSeparator" w:id="0">
    <w:p w:rsidR="001F46F6" w:rsidRDefault="001F46F6" w:rsidP="006B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034513"/>
      <w:docPartObj>
        <w:docPartGallery w:val="Page Numbers (Bottom of Page)"/>
        <w:docPartUnique/>
      </w:docPartObj>
    </w:sdtPr>
    <w:sdtEndPr/>
    <w:sdtContent>
      <w:p w:rsidR="00353EAA" w:rsidRDefault="00353EAA">
        <w:pPr>
          <w:pStyle w:val="Altbilgi"/>
          <w:jc w:val="right"/>
        </w:pPr>
      </w:p>
      <w:p w:rsidR="00353EAA" w:rsidRDefault="00353EAA">
        <w:pPr>
          <w:pStyle w:val="Altbilgi"/>
          <w:jc w:val="right"/>
        </w:pPr>
        <w:r>
          <w:fldChar w:fldCharType="begin"/>
        </w:r>
        <w:r>
          <w:instrText>PAGE   \* MERGEFORMAT</w:instrText>
        </w:r>
        <w:r>
          <w:fldChar w:fldCharType="separate"/>
        </w:r>
        <w:r w:rsidR="00951C57">
          <w:rPr>
            <w:noProof/>
          </w:rPr>
          <w:t>7</w:t>
        </w:r>
        <w:r>
          <w:fldChar w:fldCharType="end"/>
        </w:r>
      </w:p>
    </w:sdtContent>
  </w:sdt>
  <w:p w:rsidR="00353EAA" w:rsidRDefault="00353E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6F6" w:rsidRDefault="001F46F6" w:rsidP="006B58E7">
      <w:pPr>
        <w:spacing w:after="0" w:line="240" w:lineRule="auto"/>
      </w:pPr>
      <w:r>
        <w:separator/>
      </w:r>
    </w:p>
  </w:footnote>
  <w:footnote w:type="continuationSeparator" w:id="0">
    <w:p w:rsidR="001F46F6" w:rsidRDefault="001F46F6" w:rsidP="006B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58"/>
    <w:multiLevelType w:val="hybridMultilevel"/>
    <w:tmpl w:val="BA9C6866"/>
    <w:lvl w:ilvl="0" w:tplc="C1D487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8123E4B"/>
    <w:multiLevelType w:val="hybridMultilevel"/>
    <w:tmpl w:val="7B1AFDD0"/>
    <w:lvl w:ilvl="0" w:tplc="0CFC74FC">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
    <w:nsid w:val="13530973"/>
    <w:multiLevelType w:val="hybridMultilevel"/>
    <w:tmpl w:val="D640E81A"/>
    <w:lvl w:ilvl="0" w:tplc="5FEC5906">
      <w:start w:val="1"/>
      <w:numFmt w:val="lowerLetter"/>
      <w:lvlText w:val="%1)"/>
      <w:lvlJc w:val="left"/>
      <w:pPr>
        <w:ind w:left="1497" w:hanging="360"/>
      </w:pPr>
      <w:rPr>
        <w:rFonts w:hint="default"/>
      </w:rPr>
    </w:lvl>
    <w:lvl w:ilvl="1" w:tplc="041F0019" w:tentative="1">
      <w:start w:val="1"/>
      <w:numFmt w:val="lowerLetter"/>
      <w:lvlText w:val="%2."/>
      <w:lvlJc w:val="left"/>
      <w:pPr>
        <w:ind w:left="2217" w:hanging="360"/>
      </w:pPr>
    </w:lvl>
    <w:lvl w:ilvl="2" w:tplc="041F001B" w:tentative="1">
      <w:start w:val="1"/>
      <w:numFmt w:val="lowerRoman"/>
      <w:lvlText w:val="%3."/>
      <w:lvlJc w:val="right"/>
      <w:pPr>
        <w:ind w:left="2937" w:hanging="180"/>
      </w:pPr>
    </w:lvl>
    <w:lvl w:ilvl="3" w:tplc="041F000F" w:tentative="1">
      <w:start w:val="1"/>
      <w:numFmt w:val="decimal"/>
      <w:lvlText w:val="%4."/>
      <w:lvlJc w:val="left"/>
      <w:pPr>
        <w:ind w:left="3657" w:hanging="360"/>
      </w:pPr>
    </w:lvl>
    <w:lvl w:ilvl="4" w:tplc="041F0019" w:tentative="1">
      <w:start w:val="1"/>
      <w:numFmt w:val="lowerLetter"/>
      <w:lvlText w:val="%5."/>
      <w:lvlJc w:val="left"/>
      <w:pPr>
        <w:ind w:left="4377" w:hanging="360"/>
      </w:pPr>
    </w:lvl>
    <w:lvl w:ilvl="5" w:tplc="041F001B" w:tentative="1">
      <w:start w:val="1"/>
      <w:numFmt w:val="lowerRoman"/>
      <w:lvlText w:val="%6."/>
      <w:lvlJc w:val="right"/>
      <w:pPr>
        <w:ind w:left="5097" w:hanging="180"/>
      </w:pPr>
    </w:lvl>
    <w:lvl w:ilvl="6" w:tplc="041F000F" w:tentative="1">
      <w:start w:val="1"/>
      <w:numFmt w:val="decimal"/>
      <w:lvlText w:val="%7."/>
      <w:lvlJc w:val="left"/>
      <w:pPr>
        <w:ind w:left="5817" w:hanging="360"/>
      </w:pPr>
    </w:lvl>
    <w:lvl w:ilvl="7" w:tplc="041F0019" w:tentative="1">
      <w:start w:val="1"/>
      <w:numFmt w:val="lowerLetter"/>
      <w:lvlText w:val="%8."/>
      <w:lvlJc w:val="left"/>
      <w:pPr>
        <w:ind w:left="6537" w:hanging="360"/>
      </w:pPr>
    </w:lvl>
    <w:lvl w:ilvl="8" w:tplc="041F001B" w:tentative="1">
      <w:start w:val="1"/>
      <w:numFmt w:val="lowerRoman"/>
      <w:lvlText w:val="%9."/>
      <w:lvlJc w:val="right"/>
      <w:pPr>
        <w:ind w:left="7257" w:hanging="180"/>
      </w:pPr>
    </w:lvl>
  </w:abstractNum>
  <w:abstractNum w:abstractNumId="3">
    <w:nsid w:val="150B078B"/>
    <w:multiLevelType w:val="hybridMultilevel"/>
    <w:tmpl w:val="B8029BE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8523F2"/>
    <w:multiLevelType w:val="hybridMultilevel"/>
    <w:tmpl w:val="DE366F24"/>
    <w:lvl w:ilvl="0" w:tplc="5BC0444E">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64846FE"/>
    <w:multiLevelType w:val="hybridMultilevel"/>
    <w:tmpl w:val="DE305480"/>
    <w:lvl w:ilvl="0" w:tplc="A8983F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29C22A5B"/>
    <w:multiLevelType w:val="hybridMultilevel"/>
    <w:tmpl w:val="480ED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85D06BA"/>
    <w:multiLevelType w:val="hybridMultilevel"/>
    <w:tmpl w:val="B6A0CE72"/>
    <w:lvl w:ilvl="0" w:tplc="7CEE5E9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3DAE6EC3"/>
    <w:multiLevelType w:val="hybridMultilevel"/>
    <w:tmpl w:val="4942CCE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nsid w:val="3E6F7B43"/>
    <w:multiLevelType w:val="hybridMultilevel"/>
    <w:tmpl w:val="1912189A"/>
    <w:lvl w:ilvl="0" w:tplc="BB5ADB0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3EFC0F2A"/>
    <w:multiLevelType w:val="hybridMultilevel"/>
    <w:tmpl w:val="9D66CCFA"/>
    <w:lvl w:ilvl="0" w:tplc="C40698C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455B6F62"/>
    <w:multiLevelType w:val="hybridMultilevel"/>
    <w:tmpl w:val="AC886F36"/>
    <w:lvl w:ilvl="0" w:tplc="183CF730">
      <w:start w:val="1"/>
      <w:numFmt w:val="decimal"/>
      <w:lvlText w:val="%1-"/>
      <w:lvlJc w:val="left"/>
      <w:pPr>
        <w:ind w:left="1557" w:hanging="990"/>
      </w:pPr>
      <w:rPr>
        <w:rFonts w:eastAsia="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7E73276"/>
    <w:multiLevelType w:val="hybridMultilevel"/>
    <w:tmpl w:val="2DF0C180"/>
    <w:lvl w:ilvl="0" w:tplc="B66CCB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4E276959"/>
    <w:multiLevelType w:val="hybridMultilevel"/>
    <w:tmpl w:val="A53C7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1C7505"/>
    <w:multiLevelType w:val="multilevel"/>
    <w:tmpl w:val="921A9C56"/>
    <w:lvl w:ilvl="0">
      <w:start w:val="1"/>
      <w:numFmt w:val="decimal"/>
      <w:lvlText w:val="%1."/>
      <w:lvlJc w:val="left"/>
      <w:pPr>
        <w:ind w:left="1287" w:hanging="360"/>
      </w:pPr>
      <w:rPr>
        <w:b/>
      </w:rPr>
    </w:lvl>
    <w:lvl w:ilvl="1">
      <w:start w:val="1"/>
      <w:numFmt w:val="decimal"/>
      <w:isLgl/>
      <w:lvlText w:val="%1.%2."/>
      <w:lvlJc w:val="left"/>
      <w:pPr>
        <w:ind w:left="928" w:hanging="360"/>
      </w:pPr>
      <w:rPr>
        <w:rFonts w:ascii="Times New Roman" w:hAnsi="Times New Roman" w:cs="Times New Roman" w:hint="default"/>
        <w:b/>
        <w:color w:val="auto"/>
        <w:sz w:val="24"/>
        <w:szCs w:val="24"/>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568276A4"/>
    <w:multiLevelType w:val="hybridMultilevel"/>
    <w:tmpl w:val="C14C30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1E73BC"/>
    <w:multiLevelType w:val="hybridMultilevel"/>
    <w:tmpl w:val="4F3AD300"/>
    <w:lvl w:ilvl="0" w:tplc="A35A30D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nsid w:val="67876BC3"/>
    <w:multiLevelType w:val="hybridMultilevel"/>
    <w:tmpl w:val="4C9202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E6573DE"/>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32637C4"/>
    <w:multiLevelType w:val="hybridMultilevel"/>
    <w:tmpl w:val="E918BC16"/>
    <w:lvl w:ilvl="0" w:tplc="11ECD4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D016343"/>
    <w:multiLevelType w:val="hybridMultilevel"/>
    <w:tmpl w:val="71460A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0"/>
  </w:num>
  <w:num w:numId="5">
    <w:abstractNumId w:val="3"/>
  </w:num>
  <w:num w:numId="6">
    <w:abstractNumId w:val="4"/>
  </w:num>
  <w:num w:numId="7">
    <w:abstractNumId w:val="8"/>
  </w:num>
  <w:num w:numId="8">
    <w:abstractNumId w:val="11"/>
  </w:num>
  <w:num w:numId="9">
    <w:abstractNumId w:val="10"/>
  </w:num>
  <w:num w:numId="10">
    <w:abstractNumId w:val="5"/>
  </w:num>
  <w:num w:numId="11">
    <w:abstractNumId w:val="16"/>
  </w:num>
  <w:num w:numId="12">
    <w:abstractNumId w:val="19"/>
  </w:num>
  <w:num w:numId="13">
    <w:abstractNumId w:val="7"/>
  </w:num>
  <w:num w:numId="14">
    <w:abstractNumId w:val="12"/>
  </w:num>
  <w:num w:numId="15">
    <w:abstractNumId w:val="14"/>
  </w:num>
  <w:num w:numId="16">
    <w:abstractNumId w:val="1"/>
  </w:num>
  <w:num w:numId="17">
    <w:abstractNumId w:val="9"/>
  </w:num>
  <w:num w:numId="18">
    <w:abstractNumId w:val="2"/>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94"/>
    <w:rsid w:val="000128FF"/>
    <w:rsid w:val="0001452E"/>
    <w:rsid w:val="0003180B"/>
    <w:rsid w:val="000337FC"/>
    <w:rsid w:val="000355AE"/>
    <w:rsid w:val="00035630"/>
    <w:rsid w:val="00037C01"/>
    <w:rsid w:val="00037E6C"/>
    <w:rsid w:val="00040178"/>
    <w:rsid w:val="00040DA7"/>
    <w:rsid w:val="00045846"/>
    <w:rsid w:val="00046305"/>
    <w:rsid w:val="00054626"/>
    <w:rsid w:val="00066ED0"/>
    <w:rsid w:val="00080EF0"/>
    <w:rsid w:val="00081A40"/>
    <w:rsid w:val="00085FC7"/>
    <w:rsid w:val="00091E8B"/>
    <w:rsid w:val="000923F3"/>
    <w:rsid w:val="00093DDA"/>
    <w:rsid w:val="00093F06"/>
    <w:rsid w:val="00095289"/>
    <w:rsid w:val="000B0985"/>
    <w:rsid w:val="000B28D0"/>
    <w:rsid w:val="000B4F01"/>
    <w:rsid w:val="000B7EEE"/>
    <w:rsid w:val="000C041F"/>
    <w:rsid w:val="000C15DA"/>
    <w:rsid w:val="000C1F3B"/>
    <w:rsid w:val="000D024F"/>
    <w:rsid w:val="000D30B8"/>
    <w:rsid w:val="000D66BC"/>
    <w:rsid w:val="000D70EF"/>
    <w:rsid w:val="000D746C"/>
    <w:rsid w:val="000E1F12"/>
    <w:rsid w:val="0011336A"/>
    <w:rsid w:val="0012194E"/>
    <w:rsid w:val="00122FBB"/>
    <w:rsid w:val="001257CE"/>
    <w:rsid w:val="00126357"/>
    <w:rsid w:val="001365B6"/>
    <w:rsid w:val="00144C90"/>
    <w:rsid w:val="00146B27"/>
    <w:rsid w:val="0015152F"/>
    <w:rsid w:val="00152D2C"/>
    <w:rsid w:val="001556BF"/>
    <w:rsid w:val="0015757D"/>
    <w:rsid w:val="00157D1F"/>
    <w:rsid w:val="0016473E"/>
    <w:rsid w:val="00170CE1"/>
    <w:rsid w:val="001773FD"/>
    <w:rsid w:val="00186CB5"/>
    <w:rsid w:val="00187EC2"/>
    <w:rsid w:val="00197AAC"/>
    <w:rsid w:val="001A157A"/>
    <w:rsid w:val="001A278D"/>
    <w:rsid w:val="001A5033"/>
    <w:rsid w:val="001A5194"/>
    <w:rsid w:val="001A6B22"/>
    <w:rsid w:val="001A731F"/>
    <w:rsid w:val="001C0FD9"/>
    <w:rsid w:val="001C2033"/>
    <w:rsid w:val="001C5153"/>
    <w:rsid w:val="001D28C5"/>
    <w:rsid w:val="001D52BA"/>
    <w:rsid w:val="001E031C"/>
    <w:rsid w:val="001E1CB5"/>
    <w:rsid w:val="001E2EDC"/>
    <w:rsid w:val="001E7BAA"/>
    <w:rsid w:val="001F46F6"/>
    <w:rsid w:val="001F6CD6"/>
    <w:rsid w:val="002012F6"/>
    <w:rsid w:val="00204DE5"/>
    <w:rsid w:val="00206242"/>
    <w:rsid w:val="002075A1"/>
    <w:rsid w:val="002111DF"/>
    <w:rsid w:val="002126F5"/>
    <w:rsid w:val="00213BE2"/>
    <w:rsid w:val="00224814"/>
    <w:rsid w:val="00242726"/>
    <w:rsid w:val="002468C6"/>
    <w:rsid w:val="00250561"/>
    <w:rsid w:val="00252022"/>
    <w:rsid w:val="002623A7"/>
    <w:rsid w:val="0026311F"/>
    <w:rsid w:val="00265BD8"/>
    <w:rsid w:val="002668F2"/>
    <w:rsid w:val="002702BD"/>
    <w:rsid w:val="00272CAF"/>
    <w:rsid w:val="00272F03"/>
    <w:rsid w:val="002775E2"/>
    <w:rsid w:val="00280D76"/>
    <w:rsid w:val="00296270"/>
    <w:rsid w:val="002A0C00"/>
    <w:rsid w:val="002A0FFD"/>
    <w:rsid w:val="002A15AE"/>
    <w:rsid w:val="002A249C"/>
    <w:rsid w:val="002B3B16"/>
    <w:rsid w:val="002C6632"/>
    <w:rsid w:val="002C6939"/>
    <w:rsid w:val="002C7494"/>
    <w:rsid w:val="002D3132"/>
    <w:rsid w:val="002E34E1"/>
    <w:rsid w:val="002E38AF"/>
    <w:rsid w:val="002E3AC9"/>
    <w:rsid w:val="002F2385"/>
    <w:rsid w:val="002F4258"/>
    <w:rsid w:val="002F6462"/>
    <w:rsid w:val="002F7539"/>
    <w:rsid w:val="002F7F71"/>
    <w:rsid w:val="00304A8E"/>
    <w:rsid w:val="00306FDC"/>
    <w:rsid w:val="003121D9"/>
    <w:rsid w:val="0031375B"/>
    <w:rsid w:val="00314E6C"/>
    <w:rsid w:val="003358AE"/>
    <w:rsid w:val="00340DF6"/>
    <w:rsid w:val="00342258"/>
    <w:rsid w:val="00342AEA"/>
    <w:rsid w:val="00343342"/>
    <w:rsid w:val="003448EF"/>
    <w:rsid w:val="00344C4C"/>
    <w:rsid w:val="00350DDE"/>
    <w:rsid w:val="003523F2"/>
    <w:rsid w:val="00353EAA"/>
    <w:rsid w:val="00354BE0"/>
    <w:rsid w:val="00354CA6"/>
    <w:rsid w:val="0035709D"/>
    <w:rsid w:val="00360431"/>
    <w:rsid w:val="00360AA8"/>
    <w:rsid w:val="00366ABC"/>
    <w:rsid w:val="00377130"/>
    <w:rsid w:val="00385381"/>
    <w:rsid w:val="00394706"/>
    <w:rsid w:val="00395E32"/>
    <w:rsid w:val="003A4690"/>
    <w:rsid w:val="003B4FCE"/>
    <w:rsid w:val="003B6A20"/>
    <w:rsid w:val="003C313E"/>
    <w:rsid w:val="003D191A"/>
    <w:rsid w:val="003D197F"/>
    <w:rsid w:val="003D4354"/>
    <w:rsid w:val="003D47C0"/>
    <w:rsid w:val="003D6E76"/>
    <w:rsid w:val="003E28FD"/>
    <w:rsid w:val="003E4C42"/>
    <w:rsid w:val="003E66DB"/>
    <w:rsid w:val="003F03C2"/>
    <w:rsid w:val="003F6285"/>
    <w:rsid w:val="004019A3"/>
    <w:rsid w:val="00406B1A"/>
    <w:rsid w:val="004116CC"/>
    <w:rsid w:val="00413794"/>
    <w:rsid w:val="00413CAE"/>
    <w:rsid w:val="00420A3F"/>
    <w:rsid w:val="00434CAB"/>
    <w:rsid w:val="00441014"/>
    <w:rsid w:val="004633ED"/>
    <w:rsid w:val="00465E69"/>
    <w:rsid w:val="00480EB9"/>
    <w:rsid w:val="00484B80"/>
    <w:rsid w:val="00486287"/>
    <w:rsid w:val="0048794B"/>
    <w:rsid w:val="004A2447"/>
    <w:rsid w:val="004A2595"/>
    <w:rsid w:val="004A4688"/>
    <w:rsid w:val="004A5BFB"/>
    <w:rsid w:val="004A5D07"/>
    <w:rsid w:val="004B78B5"/>
    <w:rsid w:val="004B7C58"/>
    <w:rsid w:val="004C62CB"/>
    <w:rsid w:val="004E2BE3"/>
    <w:rsid w:val="004E2F17"/>
    <w:rsid w:val="004E310D"/>
    <w:rsid w:val="004E6626"/>
    <w:rsid w:val="004F2A1B"/>
    <w:rsid w:val="004F4827"/>
    <w:rsid w:val="004F48F0"/>
    <w:rsid w:val="004F64DF"/>
    <w:rsid w:val="00500CB3"/>
    <w:rsid w:val="005056E5"/>
    <w:rsid w:val="00514504"/>
    <w:rsid w:val="00514781"/>
    <w:rsid w:val="00523D5F"/>
    <w:rsid w:val="00530713"/>
    <w:rsid w:val="0053343F"/>
    <w:rsid w:val="00535DBC"/>
    <w:rsid w:val="005408FD"/>
    <w:rsid w:val="00544361"/>
    <w:rsid w:val="0054768F"/>
    <w:rsid w:val="005500C1"/>
    <w:rsid w:val="00551BB2"/>
    <w:rsid w:val="00557034"/>
    <w:rsid w:val="005616A5"/>
    <w:rsid w:val="00570853"/>
    <w:rsid w:val="00581BEE"/>
    <w:rsid w:val="00592DE6"/>
    <w:rsid w:val="00593AAE"/>
    <w:rsid w:val="005B13B5"/>
    <w:rsid w:val="005C4F5B"/>
    <w:rsid w:val="005D0D60"/>
    <w:rsid w:val="005D4A3B"/>
    <w:rsid w:val="005D4CCE"/>
    <w:rsid w:val="005D6FE8"/>
    <w:rsid w:val="005E3EFF"/>
    <w:rsid w:val="005E5067"/>
    <w:rsid w:val="005F1B12"/>
    <w:rsid w:val="005F2BCF"/>
    <w:rsid w:val="005F4E81"/>
    <w:rsid w:val="005F620A"/>
    <w:rsid w:val="005F7E1D"/>
    <w:rsid w:val="005F7EDE"/>
    <w:rsid w:val="00606E9E"/>
    <w:rsid w:val="00607301"/>
    <w:rsid w:val="00610D0E"/>
    <w:rsid w:val="006125BD"/>
    <w:rsid w:val="00613C16"/>
    <w:rsid w:val="006232FA"/>
    <w:rsid w:val="00624B79"/>
    <w:rsid w:val="00626EC7"/>
    <w:rsid w:val="006301CE"/>
    <w:rsid w:val="00631110"/>
    <w:rsid w:val="00631EA0"/>
    <w:rsid w:val="00646F5A"/>
    <w:rsid w:val="00651D8C"/>
    <w:rsid w:val="00655785"/>
    <w:rsid w:val="00655D1A"/>
    <w:rsid w:val="00660232"/>
    <w:rsid w:val="00661223"/>
    <w:rsid w:val="00661B6D"/>
    <w:rsid w:val="00664CC2"/>
    <w:rsid w:val="006719EE"/>
    <w:rsid w:val="00675720"/>
    <w:rsid w:val="00681200"/>
    <w:rsid w:val="00697998"/>
    <w:rsid w:val="00697FAF"/>
    <w:rsid w:val="006A1442"/>
    <w:rsid w:val="006A2279"/>
    <w:rsid w:val="006B1FE6"/>
    <w:rsid w:val="006B58E7"/>
    <w:rsid w:val="006B7B46"/>
    <w:rsid w:val="006C0F43"/>
    <w:rsid w:val="006C4C4F"/>
    <w:rsid w:val="006D5651"/>
    <w:rsid w:val="006D66F6"/>
    <w:rsid w:val="006E28EE"/>
    <w:rsid w:val="006E5729"/>
    <w:rsid w:val="006F0ED7"/>
    <w:rsid w:val="006F1963"/>
    <w:rsid w:val="006F2C6D"/>
    <w:rsid w:val="006F512B"/>
    <w:rsid w:val="007023D7"/>
    <w:rsid w:val="007024CD"/>
    <w:rsid w:val="0071212C"/>
    <w:rsid w:val="00713BB0"/>
    <w:rsid w:val="00714986"/>
    <w:rsid w:val="00717383"/>
    <w:rsid w:val="00721387"/>
    <w:rsid w:val="00726D88"/>
    <w:rsid w:val="007377C7"/>
    <w:rsid w:val="007403D0"/>
    <w:rsid w:val="007410F3"/>
    <w:rsid w:val="0074721A"/>
    <w:rsid w:val="007513C2"/>
    <w:rsid w:val="007535F1"/>
    <w:rsid w:val="00755269"/>
    <w:rsid w:val="00756EB9"/>
    <w:rsid w:val="00764186"/>
    <w:rsid w:val="007707FE"/>
    <w:rsid w:val="0077099F"/>
    <w:rsid w:val="00775B04"/>
    <w:rsid w:val="00781060"/>
    <w:rsid w:val="00781A8B"/>
    <w:rsid w:val="00787A96"/>
    <w:rsid w:val="00791258"/>
    <w:rsid w:val="00796DE4"/>
    <w:rsid w:val="00797CBC"/>
    <w:rsid w:val="007A40F0"/>
    <w:rsid w:val="007B6F05"/>
    <w:rsid w:val="007C6A0F"/>
    <w:rsid w:val="007D6F51"/>
    <w:rsid w:val="007E2F00"/>
    <w:rsid w:val="007E6F03"/>
    <w:rsid w:val="007E70BE"/>
    <w:rsid w:val="007F09D7"/>
    <w:rsid w:val="007F6299"/>
    <w:rsid w:val="00817723"/>
    <w:rsid w:val="008177E8"/>
    <w:rsid w:val="00822485"/>
    <w:rsid w:val="008246A3"/>
    <w:rsid w:val="00847D3D"/>
    <w:rsid w:val="00853342"/>
    <w:rsid w:val="00856044"/>
    <w:rsid w:val="0085742D"/>
    <w:rsid w:val="00860444"/>
    <w:rsid w:val="00862560"/>
    <w:rsid w:val="00862615"/>
    <w:rsid w:val="00874A48"/>
    <w:rsid w:val="0088270C"/>
    <w:rsid w:val="00882EF8"/>
    <w:rsid w:val="00885C58"/>
    <w:rsid w:val="008927C2"/>
    <w:rsid w:val="00896150"/>
    <w:rsid w:val="00897747"/>
    <w:rsid w:val="008A13A5"/>
    <w:rsid w:val="008A25BA"/>
    <w:rsid w:val="008A4A34"/>
    <w:rsid w:val="008B2C0B"/>
    <w:rsid w:val="008B7568"/>
    <w:rsid w:val="008B75A4"/>
    <w:rsid w:val="008C0F86"/>
    <w:rsid w:val="008C2DBA"/>
    <w:rsid w:val="008C5D13"/>
    <w:rsid w:val="008D285E"/>
    <w:rsid w:val="008D63EE"/>
    <w:rsid w:val="008E271F"/>
    <w:rsid w:val="008E41A8"/>
    <w:rsid w:val="0090077C"/>
    <w:rsid w:val="0090424E"/>
    <w:rsid w:val="009045E1"/>
    <w:rsid w:val="00905BA0"/>
    <w:rsid w:val="00905CDB"/>
    <w:rsid w:val="0090678A"/>
    <w:rsid w:val="00912368"/>
    <w:rsid w:val="00914137"/>
    <w:rsid w:val="00925748"/>
    <w:rsid w:val="00931780"/>
    <w:rsid w:val="009369A6"/>
    <w:rsid w:val="009379DF"/>
    <w:rsid w:val="00951C57"/>
    <w:rsid w:val="00953BCA"/>
    <w:rsid w:val="00956FDF"/>
    <w:rsid w:val="00966021"/>
    <w:rsid w:val="00970827"/>
    <w:rsid w:val="009736E7"/>
    <w:rsid w:val="00974198"/>
    <w:rsid w:val="009744E9"/>
    <w:rsid w:val="009808C0"/>
    <w:rsid w:val="00983EAB"/>
    <w:rsid w:val="00986031"/>
    <w:rsid w:val="00990B1B"/>
    <w:rsid w:val="00991C58"/>
    <w:rsid w:val="009927B0"/>
    <w:rsid w:val="00996AA5"/>
    <w:rsid w:val="009A2139"/>
    <w:rsid w:val="009A63FB"/>
    <w:rsid w:val="009A6F73"/>
    <w:rsid w:val="009A7D81"/>
    <w:rsid w:val="009B085E"/>
    <w:rsid w:val="009B28BB"/>
    <w:rsid w:val="009B35D8"/>
    <w:rsid w:val="009B3C71"/>
    <w:rsid w:val="009B42F4"/>
    <w:rsid w:val="009B447E"/>
    <w:rsid w:val="009C208C"/>
    <w:rsid w:val="009C3332"/>
    <w:rsid w:val="009E4879"/>
    <w:rsid w:val="009E6C23"/>
    <w:rsid w:val="009F213F"/>
    <w:rsid w:val="009F35EF"/>
    <w:rsid w:val="009F6401"/>
    <w:rsid w:val="00A0351F"/>
    <w:rsid w:val="00A15F5F"/>
    <w:rsid w:val="00A23D2C"/>
    <w:rsid w:val="00A23F0C"/>
    <w:rsid w:val="00A3011D"/>
    <w:rsid w:val="00A40BD2"/>
    <w:rsid w:val="00A42B65"/>
    <w:rsid w:val="00A45256"/>
    <w:rsid w:val="00A571B9"/>
    <w:rsid w:val="00A57274"/>
    <w:rsid w:val="00A61867"/>
    <w:rsid w:val="00A618B6"/>
    <w:rsid w:val="00A61A74"/>
    <w:rsid w:val="00A62959"/>
    <w:rsid w:val="00A70477"/>
    <w:rsid w:val="00A7262E"/>
    <w:rsid w:val="00A748A7"/>
    <w:rsid w:val="00A8405E"/>
    <w:rsid w:val="00A844E0"/>
    <w:rsid w:val="00A867FB"/>
    <w:rsid w:val="00AA364C"/>
    <w:rsid w:val="00AA537D"/>
    <w:rsid w:val="00AA6D95"/>
    <w:rsid w:val="00AA7F2A"/>
    <w:rsid w:val="00AB1F95"/>
    <w:rsid w:val="00AB61A7"/>
    <w:rsid w:val="00AC0AE1"/>
    <w:rsid w:val="00AC26E4"/>
    <w:rsid w:val="00AC48DF"/>
    <w:rsid w:val="00AC7AB3"/>
    <w:rsid w:val="00AC7D96"/>
    <w:rsid w:val="00AE034F"/>
    <w:rsid w:val="00AE1E36"/>
    <w:rsid w:val="00AE3AD1"/>
    <w:rsid w:val="00AF2B1D"/>
    <w:rsid w:val="00AF7F34"/>
    <w:rsid w:val="00B00B86"/>
    <w:rsid w:val="00B038F8"/>
    <w:rsid w:val="00B04882"/>
    <w:rsid w:val="00B04D3D"/>
    <w:rsid w:val="00B0550A"/>
    <w:rsid w:val="00B05D03"/>
    <w:rsid w:val="00B10CC3"/>
    <w:rsid w:val="00B11F6A"/>
    <w:rsid w:val="00B15B4B"/>
    <w:rsid w:val="00B22B2E"/>
    <w:rsid w:val="00B2323B"/>
    <w:rsid w:val="00B24E12"/>
    <w:rsid w:val="00B41CE1"/>
    <w:rsid w:val="00B4223B"/>
    <w:rsid w:val="00B512D5"/>
    <w:rsid w:val="00B535CF"/>
    <w:rsid w:val="00B55C60"/>
    <w:rsid w:val="00B60EDC"/>
    <w:rsid w:val="00B63C7A"/>
    <w:rsid w:val="00B706F4"/>
    <w:rsid w:val="00B737D9"/>
    <w:rsid w:val="00B73F1E"/>
    <w:rsid w:val="00B81D31"/>
    <w:rsid w:val="00B85D11"/>
    <w:rsid w:val="00B86676"/>
    <w:rsid w:val="00B907A5"/>
    <w:rsid w:val="00B9420E"/>
    <w:rsid w:val="00BA1BE7"/>
    <w:rsid w:val="00BA3101"/>
    <w:rsid w:val="00BA7A1B"/>
    <w:rsid w:val="00BB18B8"/>
    <w:rsid w:val="00BB5CAE"/>
    <w:rsid w:val="00BB7282"/>
    <w:rsid w:val="00BC649F"/>
    <w:rsid w:val="00BD488E"/>
    <w:rsid w:val="00BD52AF"/>
    <w:rsid w:val="00BD5A81"/>
    <w:rsid w:val="00BE03D2"/>
    <w:rsid w:val="00BE1488"/>
    <w:rsid w:val="00BE2EC8"/>
    <w:rsid w:val="00BE5308"/>
    <w:rsid w:val="00BF58A9"/>
    <w:rsid w:val="00BF69E1"/>
    <w:rsid w:val="00C07893"/>
    <w:rsid w:val="00C139CB"/>
    <w:rsid w:val="00C314F0"/>
    <w:rsid w:val="00C34376"/>
    <w:rsid w:val="00C34E2E"/>
    <w:rsid w:val="00C3538F"/>
    <w:rsid w:val="00C427FE"/>
    <w:rsid w:val="00C44E4E"/>
    <w:rsid w:val="00C54E63"/>
    <w:rsid w:val="00C5540E"/>
    <w:rsid w:val="00C6155A"/>
    <w:rsid w:val="00C6445D"/>
    <w:rsid w:val="00C6531B"/>
    <w:rsid w:val="00C65925"/>
    <w:rsid w:val="00C76E3B"/>
    <w:rsid w:val="00C7717D"/>
    <w:rsid w:val="00C8222C"/>
    <w:rsid w:val="00C92C9A"/>
    <w:rsid w:val="00C97BAD"/>
    <w:rsid w:val="00C97E74"/>
    <w:rsid w:val="00CA4BFD"/>
    <w:rsid w:val="00CA4EE2"/>
    <w:rsid w:val="00CA5563"/>
    <w:rsid w:val="00CA6177"/>
    <w:rsid w:val="00CA63C0"/>
    <w:rsid w:val="00CA67DE"/>
    <w:rsid w:val="00CB6392"/>
    <w:rsid w:val="00CD4C62"/>
    <w:rsid w:val="00CD5555"/>
    <w:rsid w:val="00CD7F1A"/>
    <w:rsid w:val="00CE20C4"/>
    <w:rsid w:val="00CE3497"/>
    <w:rsid w:val="00CE4E6F"/>
    <w:rsid w:val="00CE4EF0"/>
    <w:rsid w:val="00CF09A4"/>
    <w:rsid w:val="00CF3635"/>
    <w:rsid w:val="00CF7370"/>
    <w:rsid w:val="00D02C58"/>
    <w:rsid w:val="00D03020"/>
    <w:rsid w:val="00D03471"/>
    <w:rsid w:val="00D037B4"/>
    <w:rsid w:val="00D24121"/>
    <w:rsid w:val="00D26552"/>
    <w:rsid w:val="00D32B99"/>
    <w:rsid w:val="00D35785"/>
    <w:rsid w:val="00D37B4E"/>
    <w:rsid w:val="00D42407"/>
    <w:rsid w:val="00D42690"/>
    <w:rsid w:val="00D44670"/>
    <w:rsid w:val="00D6273E"/>
    <w:rsid w:val="00D64011"/>
    <w:rsid w:val="00D7014D"/>
    <w:rsid w:val="00D7319B"/>
    <w:rsid w:val="00D8212C"/>
    <w:rsid w:val="00D83EE8"/>
    <w:rsid w:val="00D9057D"/>
    <w:rsid w:val="00D91786"/>
    <w:rsid w:val="00D92981"/>
    <w:rsid w:val="00DA09BF"/>
    <w:rsid w:val="00DA6464"/>
    <w:rsid w:val="00DB06C5"/>
    <w:rsid w:val="00DB0CFE"/>
    <w:rsid w:val="00DB327F"/>
    <w:rsid w:val="00DB4746"/>
    <w:rsid w:val="00DB5F56"/>
    <w:rsid w:val="00DC1A94"/>
    <w:rsid w:val="00DC4CBD"/>
    <w:rsid w:val="00DD3DB7"/>
    <w:rsid w:val="00DD656B"/>
    <w:rsid w:val="00DE5006"/>
    <w:rsid w:val="00E00C21"/>
    <w:rsid w:val="00E03454"/>
    <w:rsid w:val="00E03A0C"/>
    <w:rsid w:val="00E0499B"/>
    <w:rsid w:val="00E07D09"/>
    <w:rsid w:val="00E10A09"/>
    <w:rsid w:val="00E10CD6"/>
    <w:rsid w:val="00E15AD8"/>
    <w:rsid w:val="00E15B88"/>
    <w:rsid w:val="00E218C6"/>
    <w:rsid w:val="00E34AA6"/>
    <w:rsid w:val="00E4602A"/>
    <w:rsid w:val="00E47F14"/>
    <w:rsid w:val="00E539CE"/>
    <w:rsid w:val="00E626E6"/>
    <w:rsid w:val="00E63605"/>
    <w:rsid w:val="00E72A41"/>
    <w:rsid w:val="00E83513"/>
    <w:rsid w:val="00E8459C"/>
    <w:rsid w:val="00E87CFD"/>
    <w:rsid w:val="00E937C1"/>
    <w:rsid w:val="00E94FAC"/>
    <w:rsid w:val="00E95DE2"/>
    <w:rsid w:val="00EA4FB1"/>
    <w:rsid w:val="00EA5966"/>
    <w:rsid w:val="00EB15B7"/>
    <w:rsid w:val="00EB5FA5"/>
    <w:rsid w:val="00EC52A6"/>
    <w:rsid w:val="00EC70F9"/>
    <w:rsid w:val="00ED1B79"/>
    <w:rsid w:val="00EE3CFF"/>
    <w:rsid w:val="00EE5F6D"/>
    <w:rsid w:val="00EF1AC2"/>
    <w:rsid w:val="00EF6B83"/>
    <w:rsid w:val="00F11573"/>
    <w:rsid w:val="00F14A93"/>
    <w:rsid w:val="00F24BBD"/>
    <w:rsid w:val="00F27CDF"/>
    <w:rsid w:val="00F30891"/>
    <w:rsid w:val="00F31830"/>
    <w:rsid w:val="00F36C47"/>
    <w:rsid w:val="00F46EF3"/>
    <w:rsid w:val="00F50B0D"/>
    <w:rsid w:val="00F54DC2"/>
    <w:rsid w:val="00F60B3C"/>
    <w:rsid w:val="00F741C8"/>
    <w:rsid w:val="00F81667"/>
    <w:rsid w:val="00F84923"/>
    <w:rsid w:val="00F86496"/>
    <w:rsid w:val="00F93B0C"/>
    <w:rsid w:val="00F97DDE"/>
    <w:rsid w:val="00FA312F"/>
    <w:rsid w:val="00FA43C1"/>
    <w:rsid w:val="00FB228F"/>
    <w:rsid w:val="00FB276E"/>
    <w:rsid w:val="00FB2E64"/>
    <w:rsid w:val="00FB468C"/>
    <w:rsid w:val="00FB678F"/>
    <w:rsid w:val="00FC789C"/>
    <w:rsid w:val="00FC7B57"/>
    <w:rsid w:val="00FD203F"/>
    <w:rsid w:val="00FE0585"/>
    <w:rsid w:val="00FF0404"/>
    <w:rsid w:val="00FF5A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626E6"/>
    <w:rPr>
      <w:sz w:val="16"/>
      <w:szCs w:val="16"/>
    </w:rPr>
  </w:style>
  <w:style w:type="paragraph" w:styleId="AklamaMetni">
    <w:name w:val="annotation text"/>
    <w:basedOn w:val="Normal"/>
    <w:link w:val="AklamaMetniChar"/>
    <w:uiPriority w:val="99"/>
    <w:semiHidden/>
    <w:unhideWhenUsed/>
    <w:rsid w:val="00E626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6E6"/>
    <w:rPr>
      <w:sz w:val="20"/>
      <w:szCs w:val="20"/>
    </w:rPr>
  </w:style>
  <w:style w:type="paragraph" w:styleId="AklamaKonusu">
    <w:name w:val="annotation subject"/>
    <w:basedOn w:val="AklamaMetni"/>
    <w:next w:val="AklamaMetni"/>
    <w:link w:val="AklamaKonusuChar"/>
    <w:uiPriority w:val="99"/>
    <w:semiHidden/>
    <w:unhideWhenUsed/>
    <w:rsid w:val="00E626E6"/>
    <w:rPr>
      <w:b/>
      <w:bCs/>
    </w:rPr>
  </w:style>
  <w:style w:type="character" w:customStyle="1" w:styleId="AklamaKonusuChar">
    <w:name w:val="Açıklama Konusu Char"/>
    <w:basedOn w:val="AklamaMetniChar"/>
    <w:link w:val="AklamaKonusu"/>
    <w:uiPriority w:val="99"/>
    <w:semiHidden/>
    <w:rsid w:val="00E626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52E"/>
    <w:pPr>
      <w:ind w:left="720"/>
      <w:contextualSpacing/>
    </w:pPr>
  </w:style>
  <w:style w:type="paragraph" w:styleId="stbilgi">
    <w:name w:val="header"/>
    <w:basedOn w:val="Normal"/>
    <w:link w:val="stbilgiChar"/>
    <w:uiPriority w:val="99"/>
    <w:unhideWhenUsed/>
    <w:rsid w:val="006B58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58E7"/>
  </w:style>
  <w:style w:type="paragraph" w:styleId="Altbilgi">
    <w:name w:val="footer"/>
    <w:basedOn w:val="Normal"/>
    <w:link w:val="AltbilgiChar"/>
    <w:uiPriority w:val="99"/>
    <w:unhideWhenUsed/>
    <w:rsid w:val="006B58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58E7"/>
  </w:style>
  <w:style w:type="paragraph" w:styleId="BalonMetni">
    <w:name w:val="Balloon Text"/>
    <w:basedOn w:val="Normal"/>
    <w:link w:val="BalonMetniChar"/>
    <w:uiPriority w:val="99"/>
    <w:semiHidden/>
    <w:unhideWhenUsed/>
    <w:rsid w:val="006C4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4C4F"/>
    <w:rPr>
      <w:rFonts w:ascii="Tahoma" w:hAnsi="Tahoma" w:cs="Tahoma"/>
      <w:sz w:val="16"/>
      <w:szCs w:val="16"/>
    </w:rPr>
  </w:style>
  <w:style w:type="table" w:styleId="TabloKlavuzu">
    <w:name w:val="Table Grid"/>
    <w:basedOn w:val="NormalTablo"/>
    <w:uiPriority w:val="59"/>
    <w:rsid w:val="0025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E626E6"/>
    <w:rPr>
      <w:sz w:val="16"/>
      <w:szCs w:val="16"/>
    </w:rPr>
  </w:style>
  <w:style w:type="paragraph" w:styleId="AklamaMetni">
    <w:name w:val="annotation text"/>
    <w:basedOn w:val="Normal"/>
    <w:link w:val="AklamaMetniChar"/>
    <w:uiPriority w:val="99"/>
    <w:semiHidden/>
    <w:unhideWhenUsed/>
    <w:rsid w:val="00E626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6E6"/>
    <w:rPr>
      <w:sz w:val="20"/>
      <w:szCs w:val="20"/>
    </w:rPr>
  </w:style>
  <w:style w:type="paragraph" w:styleId="AklamaKonusu">
    <w:name w:val="annotation subject"/>
    <w:basedOn w:val="AklamaMetni"/>
    <w:next w:val="AklamaMetni"/>
    <w:link w:val="AklamaKonusuChar"/>
    <w:uiPriority w:val="99"/>
    <w:semiHidden/>
    <w:unhideWhenUsed/>
    <w:rsid w:val="00E626E6"/>
    <w:rPr>
      <w:b/>
      <w:bCs/>
    </w:rPr>
  </w:style>
  <w:style w:type="character" w:customStyle="1" w:styleId="AklamaKonusuChar">
    <w:name w:val="Açıklama Konusu Char"/>
    <w:basedOn w:val="AklamaMetniChar"/>
    <w:link w:val="AklamaKonusu"/>
    <w:uiPriority w:val="99"/>
    <w:semiHidden/>
    <w:rsid w:val="00E62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51182">
      <w:bodyDiv w:val="1"/>
      <w:marLeft w:val="0"/>
      <w:marRight w:val="0"/>
      <w:marTop w:val="0"/>
      <w:marBottom w:val="0"/>
      <w:divBdr>
        <w:top w:val="none" w:sz="0" w:space="0" w:color="auto"/>
        <w:left w:val="none" w:sz="0" w:space="0" w:color="auto"/>
        <w:bottom w:val="none" w:sz="0" w:space="0" w:color="auto"/>
        <w:right w:val="none" w:sz="0" w:space="0" w:color="auto"/>
      </w:divBdr>
    </w:div>
    <w:div w:id="1338390375">
      <w:bodyDiv w:val="1"/>
      <w:marLeft w:val="0"/>
      <w:marRight w:val="0"/>
      <w:marTop w:val="0"/>
      <w:marBottom w:val="0"/>
      <w:divBdr>
        <w:top w:val="none" w:sz="0" w:space="0" w:color="auto"/>
        <w:left w:val="none" w:sz="0" w:space="0" w:color="auto"/>
        <w:bottom w:val="none" w:sz="0" w:space="0" w:color="auto"/>
        <w:right w:val="none" w:sz="0" w:space="0" w:color="auto"/>
      </w:divBdr>
    </w:div>
    <w:div w:id="183595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FA0E-16B8-4AFA-BB63-B42DF4E2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2708</Words>
  <Characters>15439</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Hazine Müsteşarlığı</Company>
  <LinksUpToDate>false</LinksUpToDate>
  <CharactersWithSpaces>18111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KAMAN</dc:creator>
  <cp:lastModifiedBy>tobb</cp:lastModifiedBy>
  <cp:revision>4</cp:revision>
  <cp:lastPrinted>2016-07-29T14:15:00Z</cp:lastPrinted>
  <dcterms:created xsi:type="dcterms:W3CDTF">2016-07-29T13:35:00Z</dcterms:created>
  <dcterms:modified xsi:type="dcterms:W3CDTF">2016-07-29T14:16:00Z</dcterms:modified>
</cp:coreProperties>
</file>